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X23</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热带作物学会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pict>
          <v:line id="直接连接符 73" o:spid="_x0000_s1027"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食用木薯粉生产技术规程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regulations for production of edible cassava flour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（本草案完成时间：2024-5-20）</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热带作物学会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pict>
          <v:line id="直接连接符 5" o:spid="_x0000_s1026"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pPr>
        <w:pStyle w:val="89"/>
        <w:spacing w:after="360"/>
      </w:pPr>
      <w:bookmarkStart w:id="21" w:name="BookMark2"/>
      <w:r>
        <w:rPr>
          <w:spacing w:val="320"/>
        </w:rPr>
        <w:t>前</w:t>
      </w:r>
      <w:r>
        <w:t>言</w:t>
      </w:r>
    </w:p>
    <w:p>
      <w:pPr>
        <w:pStyle w:val="56"/>
        <w:spacing w:line="400" w:lineRule="exact"/>
        <w:ind w:firstLine="420"/>
      </w:pPr>
      <w:r>
        <w:rPr>
          <w:rFonts w:hint="eastAsia"/>
        </w:rPr>
        <w:t>本文件按照GB/T 1.1—2020《标准化工作导则  第1部分：标准化文件的结构和起草规则》的规定起草。</w:t>
      </w:r>
    </w:p>
    <w:p>
      <w:pPr>
        <w:pStyle w:val="56"/>
        <w:spacing w:line="400" w:lineRule="exact"/>
        <w:ind w:firstLine="420"/>
      </w:pPr>
      <w:r>
        <w:rPr>
          <w:rFonts w:hint="eastAsia"/>
        </w:rPr>
        <w:t>请注意本文件的某些内容可能涉及专利。本文件的发布机构不承担识别专利的责任。</w:t>
      </w:r>
    </w:p>
    <w:p>
      <w:pPr>
        <w:pStyle w:val="56"/>
        <w:spacing w:line="400" w:lineRule="exact"/>
        <w:ind w:firstLine="420"/>
      </w:pPr>
      <w:r>
        <w:rPr>
          <w:rFonts w:hint="eastAsia"/>
        </w:rPr>
        <w:t>本文件由中国热带农业科学院热带作物品种资源研究所提出。</w:t>
      </w:r>
    </w:p>
    <w:p>
      <w:pPr>
        <w:pStyle w:val="56"/>
        <w:spacing w:line="400" w:lineRule="exact"/>
        <w:ind w:firstLine="420"/>
      </w:pPr>
      <w:r>
        <w:rPr>
          <w:rFonts w:hint="eastAsia"/>
        </w:rPr>
        <w:t>本文件由中国热带作物学会归口。</w:t>
      </w:r>
    </w:p>
    <w:p>
      <w:pPr>
        <w:pStyle w:val="56"/>
        <w:spacing w:line="400" w:lineRule="exact"/>
        <w:ind w:firstLine="420"/>
      </w:pPr>
      <w:r>
        <w:rPr>
          <w:rFonts w:hint="eastAsia"/>
        </w:rPr>
        <w:t>本文件起草单位：中国热带农业科学院热带作物品种资源研究所、海南儋州晨来农业科技有限公司。</w:t>
      </w:r>
    </w:p>
    <w:p>
      <w:pPr>
        <w:pStyle w:val="56"/>
        <w:spacing w:line="400" w:lineRule="exact"/>
        <w:ind w:firstLine="420"/>
      </w:pPr>
      <w:r>
        <w:rPr>
          <w:rFonts w:hint="eastAsia"/>
        </w:rPr>
        <w:t>本文件主要起草人：王琴飞、林立铭、余厚美、张振文、姚庆群、韦卓文、王文杰。</w:t>
      </w:r>
    </w:p>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F628D6A12D574167AE4D866A16CD4599"/>
        </w:placeholder>
      </w:sdtPr>
      <w:sdtContent>
        <w:p>
          <w:pPr>
            <w:pStyle w:val="177"/>
            <w:spacing w:before="2" w:beforeLines="1" w:after="528" w:afterLines="220"/>
          </w:pPr>
          <w:bookmarkStart w:id="23" w:name="NEW_STAND_NAME"/>
          <w:r>
            <w:rPr>
              <w:rFonts w:hint="eastAsia"/>
            </w:rPr>
            <w:t>食用木薯粉生产技术规程</w:t>
          </w:r>
        </w:p>
      </w:sdtContent>
    </w:sdt>
    <w:bookmarkEnd w:id="23"/>
    <w:p>
      <w:pPr>
        <w:pStyle w:val="104"/>
        <w:spacing w:before="240" w:after="240"/>
      </w:pPr>
      <w:bookmarkStart w:id="24" w:name="_Toc26718930"/>
      <w:bookmarkStart w:id="25" w:name="_Toc24884211"/>
      <w:bookmarkStart w:id="26" w:name="_Toc26648465"/>
      <w:bookmarkStart w:id="27" w:name="_Toc26986530"/>
      <w:bookmarkStart w:id="28" w:name="_Toc97192964"/>
      <w:bookmarkStart w:id="29" w:name="_Toc24884218"/>
      <w:bookmarkStart w:id="30" w:name="_Toc26986771"/>
      <w:bookmarkStart w:id="31" w:name="_Toc17233325"/>
      <w:bookmarkStart w:id="32" w:name="_Toc17233333"/>
      <w:r>
        <w:rPr>
          <w:rFonts w:hint="eastAsia"/>
        </w:rPr>
        <w:t>范围</w:t>
      </w:r>
      <w:bookmarkEnd w:id="24"/>
      <w:bookmarkEnd w:id="25"/>
      <w:bookmarkEnd w:id="26"/>
      <w:bookmarkEnd w:id="27"/>
      <w:bookmarkEnd w:id="28"/>
      <w:bookmarkEnd w:id="29"/>
      <w:bookmarkEnd w:id="30"/>
      <w:bookmarkEnd w:id="31"/>
      <w:bookmarkEnd w:id="32"/>
    </w:p>
    <w:p>
      <w:pPr>
        <w:pStyle w:val="56"/>
        <w:spacing w:line="400" w:lineRule="exact"/>
        <w:ind w:firstLine="420"/>
      </w:pPr>
      <w:bookmarkStart w:id="33" w:name="_Toc24884219"/>
      <w:bookmarkStart w:id="34" w:name="_Toc17233326"/>
      <w:bookmarkStart w:id="35" w:name="_Toc24884212"/>
      <w:bookmarkStart w:id="36" w:name="_Toc17233334"/>
      <w:bookmarkStart w:id="37" w:name="_Toc26648466"/>
      <w:r>
        <w:rPr>
          <w:rFonts w:hint="eastAsia"/>
        </w:rPr>
        <w:t>本文件规定了食用木薯粉生产（加工）的场地要求、品种选择、鲜薯要求、去皮、清洗、切片（丝、条）、干燥、粉碎、过筛、保存等技术要求。</w:t>
      </w:r>
    </w:p>
    <w:p>
      <w:pPr>
        <w:pStyle w:val="56"/>
        <w:spacing w:line="400" w:lineRule="exact"/>
        <w:ind w:firstLine="420"/>
      </w:pPr>
      <w:r>
        <w:rPr>
          <w:rFonts w:hint="eastAsia"/>
        </w:rPr>
        <w:t>本文件适用于干法加工食用木薯粉的生产。</w:t>
      </w:r>
    </w:p>
    <w:p>
      <w:pPr>
        <w:pStyle w:val="104"/>
        <w:spacing w:before="240" w:after="240"/>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561590B58E74BD3ACB474C7F3E41B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spacing w:line="400" w:lineRule="exact"/>
        <w:ind w:firstLine="420"/>
      </w:pPr>
      <w:bookmarkStart w:id="42" w:name="_Toc97192966"/>
      <w:r>
        <w:rPr>
          <w:rFonts w:hint="eastAsia"/>
        </w:rPr>
        <w:t>GB 2761 食品安全国家标准 食品中真菌毒素限量</w:t>
      </w:r>
    </w:p>
    <w:p>
      <w:pPr>
        <w:pStyle w:val="56"/>
        <w:spacing w:line="400" w:lineRule="exact"/>
        <w:ind w:firstLine="420"/>
      </w:pPr>
      <w:r>
        <w:rPr>
          <w:rFonts w:hint="eastAsia"/>
        </w:rPr>
        <w:t>GB 2762 食品安全国家标准 食品中污染物限量</w:t>
      </w:r>
    </w:p>
    <w:p>
      <w:pPr>
        <w:pStyle w:val="56"/>
        <w:spacing w:line="400" w:lineRule="exact"/>
        <w:ind w:firstLine="420"/>
        <w:rPr>
          <w:rFonts w:hAnsi="宋体"/>
          <w:szCs w:val="21"/>
        </w:rPr>
      </w:pPr>
      <w:r>
        <w:rPr>
          <w:rFonts w:hint="eastAsia" w:hAnsi="宋体"/>
          <w:szCs w:val="21"/>
        </w:rPr>
        <w:t>GB 2763 食品安全国家标准 食品中农药最大残留限量</w:t>
      </w:r>
    </w:p>
    <w:p>
      <w:pPr>
        <w:pStyle w:val="56"/>
        <w:spacing w:line="400" w:lineRule="exact"/>
        <w:ind w:firstLine="420"/>
        <w:rPr>
          <w:rFonts w:hAnsi="宋体"/>
          <w:szCs w:val="21"/>
        </w:rPr>
      </w:pPr>
      <w:r>
        <w:rPr>
          <w:rFonts w:hint="eastAsia"/>
        </w:rPr>
        <w:t xml:space="preserve">GB 4806.7 </w:t>
      </w:r>
      <w:r>
        <w:rPr>
          <w:rFonts w:hint="eastAsia" w:hAnsi="宋体"/>
          <w:szCs w:val="21"/>
        </w:rPr>
        <w:t>食品安全国家标准 食品接触用塑料材料及制品</w:t>
      </w:r>
    </w:p>
    <w:p>
      <w:pPr>
        <w:pStyle w:val="56"/>
        <w:spacing w:line="400" w:lineRule="exact"/>
        <w:ind w:firstLine="420"/>
        <w:rPr>
          <w:rFonts w:hAnsi="宋体"/>
          <w:szCs w:val="21"/>
        </w:rPr>
      </w:pPr>
      <w:r>
        <w:rPr>
          <w:rFonts w:hint="eastAsia"/>
        </w:rPr>
        <w:t xml:space="preserve">GB 5009.3 </w:t>
      </w:r>
      <w:r>
        <w:rPr>
          <w:rFonts w:hint="eastAsia" w:hAnsi="宋体"/>
          <w:szCs w:val="21"/>
        </w:rPr>
        <w:t>食品安全国家标准 食品中水分的测定</w:t>
      </w:r>
    </w:p>
    <w:p>
      <w:pPr>
        <w:pStyle w:val="56"/>
        <w:spacing w:line="400" w:lineRule="exact"/>
        <w:ind w:firstLine="420"/>
        <w:rPr>
          <w:rFonts w:hAnsi="宋体"/>
          <w:szCs w:val="21"/>
        </w:rPr>
      </w:pPr>
      <w:r>
        <w:rPr>
          <w:rFonts w:hint="eastAsia"/>
        </w:rPr>
        <w:t xml:space="preserve">GB 5009.4 </w:t>
      </w:r>
      <w:r>
        <w:rPr>
          <w:rFonts w:hint="eastAsia" w:hAnsi="宋体"/>
          <w:szCs w:val="21"/>
        </w:rPr>
        <w:t>食品安全国家标准 食品中灰分的测定</w:t>
      </w:r>
    </w:p>
    <w:p>
      <w:pPr>
        <w:pStyle w:val="56"/>
        <w:spacing w:line="400" w:lineRule="exact"/>
        <w:ind w:firstLine="420"/>
      </w:pPr>
      <w:r>
        <w:t>GB 5009.11</w:t>
      </w:r>
      <w:r>
        <w:rPr>
          <w:rFonts w:hint="eastAsia"/>
        </w:rPr>
        <w:t xml:space="preserve"> </w:t>
      </w:r>
      <w:r>
        <w:rPr>
          <w:rFonts w:hint="eastAsia" w:hAnsi="宋体"/>
          <w:szCs w:val="21"/>
        </w:rPr>
        <w:t>食品安全国家标准 食品中总砷及无机砷的测定</w:t>
      </w:r>
    </w:p>
    <w:p>
      <w:pPr>
        <w:pStyle w:val="56"/>
        <w:spacing w:line="400" w:lineRule="exact"/>
        <w:ind w:firstLine="420"/>
      </w:pPr>
      <w:r>
        <w:t>GB 5009.12</w:t>
      </w:r>
      <w:r>
        <w:rPr>
          <w:rFonts w:hint="eastAsia"/>
        </w:rPr>
        <w:t xml:space="preserve"> </w:t>
      </w:r>
      <w:r>
        <w:rPr>
          <w:rFonts w:hint="eastAsia" w:hAnsi="宋体"/>
          <w:szCs w:val="21"/>
        </w:rPr>
        <w:t>食品安全国家标准 食品中铅的测定</w:t>
      </w:r>
    </w:p>
    <w:p>
      <w:pPr>
        <w:pStyle w:val="56"/>
        <w:spacing w:line="400" w:lineRule="exact"/>
        <w:ind w:firstLine="420"/>
      </w:pPr>
      <w:r>
        <w:t>GB 5009.15</w:t>
      </w:r>
      <w:r>
        <w:rPr>
          <w:rFonts w:hint="eastAsia"/>
        </w:rPr>
        <w:t xml:space="preserve"> </w:t>
      </w:r>
      <w:r>
        <w:rPr>
          <w:rFonts w:hint="eastAsia" w:hAnsi="宋体"/>
          <w:szCs w:val="21"/>
        </w:rPr>
        <w:t>食品安全国家标准 食品中镉的测定</w:t>
      </w:r>
    </w:p>
    <w:p>
      <w:pPr>
        <w:pStyle w:val="56"/>
        <w:spacing w:line="400" w:lineRule="exact"/>
        <w:ind w:firstLine="420"/>
      </w:pPr>
      <w:r>
        <w:t>GB 5009.17</w:t>
      </w:r>
      <w:r>
        <w:rPr>
          <w:rFonts w:hint="eastAsia"/>
        </w:rPr>
        <w:t xml:space="preserve"> </w:t>
      </w:r>
      <w:r>
        <w:rPr>
          <w:rFonts w:hint="eastAsia" w:hAnsi="宋体"/>
          <w:szCs w:val="21"/>
        </w:rPr>
        <w:t>食品安全国家标准 食品中汞的测定</w:t>
      </w:r>
    </w:p>
    <w:p>
      <w:pPr>
        <w:pStyle w:val="56"/>
        <w:spacing w:line="400" w:lineRule="exact"/>
        <w:ind w:firstLine="420"/>
      </w:pPr>
      <w:r>
        <w:rPr>
          <w:rFonts w:hint="eastAsia"/>
        </w:rPr>
        <w:t xml:space="preserve">GB 5009.36 </w:t>
      </w:r>
      <w:r>
        <w:rPr>
          <w:rFonts w:hint="eastAsia" w:hAnsi="宋体"/>
          <w:szCs w:val="21"/>
        </w:rPr>
        <w:t>食品安全国家标准 食品中氰化物的测定</w:t>
      </w:r>
    </w:p>
    <w:p>
      <w:pPr>
        <w:pStyle w:val="56"/>
        <w:spacing w:line="400" w:lineRule="exact"/>
        <w:ind w:firstLine="420"/>
      </w:pPr>
      <w:r>
        <w:t>GB 5009.123</w:t>
      </w:r>
      <w:r>
        <w:rPr>
          <w:rFonts w:hint="eastAsia"/>
        </w:rPr>
        <w:t xml:space="preserve"> </w:t>
      </w:r>
      <w:r>
        <w:rPr>
          <w:rFonts w:hint="eastAsia" w:hAnsi="宋体"/>
          <w:szCs w:val="21"/>
        </w:rPr>
        <w:t>食品安全国家标准 食品中铬的测定</w:t>
      </w:r>
    </w:p>
    <w:p>
      <w:pPr>
        <w:pStyle w:val="56"/>
        <w:spacing w:line="400" w:lineRule="exact"/>
        <w:ind w:firstLine="420"/>
      </w:pPr>
      <w:r>
        <w:rPr>
          <w:rFonts w:hint="eastAsia"/>
        </w:rPr>
        <w:t>GB/T 5515 粮油检验 粮食中粗纤维素含量测定 介质过滤法</w:t>
      </w:r>
    </w:p>
    <w:p>
      <w:pPr>
        <w:pStyle w:val="56"/>
        <w:spacing w:line="400" w:lineRule="exact"/>
        <w:ind w:firstLine="420"/>
        <w:rPr>
          <w:rFonts w:hAnsi="宋体"/>
          <w:szCs w:val="21"/>
        </w:rPr>
      </w:pPr>
      <w:r>
        <w:rPr>
          <w:rFonts w:hint="eastAsia" w:hAnsi="宋体"/>
          <w:szCs w:val="21"/>
        </w:rPr>
        <w:t>GB 5749 生活饮用水卫生标准</w:t>
      </w:r>
    </w:p>
    <w:p>
      <w:pPr>
        <w:pStyle w:val="56"/>
        <w:spacing w:line="400" w:lineRule="exact"/>
        <w:ind w:firstLine="420"/>
        <w:rPr>
          <w:rFonts w:hAnsi="宋体"/>
          <w:szCs w:val="21"/>
        </w:rPr>
      </w:pPr>
      <w:r>
        <w:rPr>
          <w:rFonts w:hint="eastAsia" w:hAnsi="宋体"/>
          <w:szCs w:val="21"/>
        </w:rPr>
        <w:t>GB 14881 食品安全国家标准 食品生产通用卫生规范</w:t>
      </w:r>
    </w:p>
    <w:p>
      <w:pPr>
        <w:pStyle w:val="56"/>
        <w:spacing w:line="400" w:lineRule="exact"/>
        <w:ind w:firstLine="420"/>
        <w:rPr>
          <w:rFonts w:hAnsi="宋体"/>
          <w:szCs w:val="21"/>
        </w:rPr>
      </w:pPr>
      <w:r>
        <w:rPr>
          <w:rFonts w:hint="eastAsia" w:hAnsi="宋体"/>
          <w:szCs w:val="21"/>
        </w:rPr>
        <w:t>GB/T 17109 粮食销售包装</w:t>
      </w:r>
    </w:p>
    <w:p>
      <w:pPr>
        <w:pStyle w:val="56"/>
        <w:spacing w:line="400" w:lineRule="exact"/>
        <w:ind w:firstLine="420"/>
        <w:rPr>
          <w:rFonts w:hAnsi="宋体"/>
          <w:szCs w:val="21"/>
        </w:rPr>
      </w:pPr>
      <w:r>
        <w:rPr>
          <w:rFonts w:hint="eastAsia"/>
        </w:rPr>
        <w:t>GB/T 22427.4 淀粉斑点测定</w:t>
      </w:r>
    </w:p>
    <w:p>
      <w:pPr>
        <w:pStyle w:val="56"/>
        <w:spacing w:line="400" w:lineRule="exact"/>
        <w:ind w:firstLine="420"/>
        <w:rPr>
          <w:rFonts w:hAnsi="宋体"/>
          <w:szCs w:val="21"/>
        </w:rPr>
      </w:pPr>
      <w:r>
        <w:rPr>
          <w:rFonts w:hint="eastAsia"/>
        </w:rPr>
        <w:t>GB/T 22427.5 淀粉细度测定</w:t>
      </w:r>
    </w:p>
    <w:p>
      <w:pPr>
        <w:pStyle w:val="56"/>
        <w:spacing w:line="400" w:lineRule="exact"/>
        <w:ind w:firstLine="420"/>
        <w:rPr>
          <w:rFonts w:hAnsi="宋体"/>
          <w:szCs w:val="21"/>
        </w:rPr>
      </w:pPr>
      <w:r>
        <w:rPr>
          <w:rFonts w:hint="eastAsia" w:hAnsi="宋体"/>
          <w:szCs w:val="21"/>
        </w:rPr>
        <w:t>GB/T 24905 粮食包装 小麦粉袋</w:t>
      </w:r>
    </w:p>
    <w:p>
      <w:pPr>
        <w:pStyle w:val="56"/>
        <w:spacing w:line="400" w:lineRule="exact"/>
        <w:ind w:firstLine="420"/>
        <w:rPr>
          <w:rFonts w:hAnsi="宋体" w:cs="微软雅黑"/>
          <w:color w:val="000000"/>
          <w:szCs w:val="21"/>
          <w:lang w:val="zh-CN"/>
        </w:rPr>
      </w:pPr>
      <w:r>
        <w:rPr>
          <w:rFonts w:hint="eastAsia" w:hAnsi="宋体"/>
          <w:szCs w:val="21"/>
        </w:rPr>
        <w:t xml:space="preserve">GB/T 29890  </w:t>
      </w:r>
      <w:r>
        <w:rPr>
          <w:rFonts w:hint="eastAsia" w:hAnsi="宋体" w:cs="微软雅黑"/>
          <w:color w:val="000000"/>
          <w:szCs w:val="21"/>
          <w:lang w:val="zh-CN"/>
        </w:rPr>
        <w:t>粮油储藏技术规范</w:t>
      </w:r>
    </w:p>
    <w:p>
      <w:pPr>
        <w:pStyle w:val="56"/>
        <w:spacing w:line="400" w:lineRule="exact"/>
        <w:ind w:firstLine="420"/>
        <w:rPr>
          <w:rFonts w:hAnsi="宋体" w:cs="宋体"/>
          <w:szCs w:val="21"/>
        </w:rPr>
      </w:pPr>
      <w:r>
        <w:rPr>
          <w:rFonts w:hint="eastAsia" w:hAnsi="宋体" w:cs="宋体"/>
          <w:szCs w:val="21"/>
        </w:rPr>
        <w:t>J</w:t>
      </w:r>
      <w:r>
        <w:rPr>
          <w:rFonts w:hAnsi="宋体" w:cs="宋体"/>
          <w:szCs w:val="21"/>
        </w:rPr>
        <w:t>JF</w:t>
      </w:r>
      <w:r>
        <w:rPr>
          <w:rFonts w:hint="eastAsia" w:hAnsi="宋体" w:cs="宋体"/>
          <w:szCs w:val="21"/>
        </w:rPr>
        <w:t xml:space="preserve"> </w:t>
      </w:r>
      <w:r>
        <w:rPr>
          <w:rFonts w:hAnsi="宋体" w:cs="宋体"/>
          <w:szCs w:val="21"/>
        </w:rPr>
        <w:t>1070</w:t>
      </w:r>
      <w:r>
        <w:rPr>
          <w:rFonts w:hint="eastAsia" w:hAnsi="宋体" w:cs="宋体"/>
          <w:szCs w:val="21"/>
        </w:rPr>
        <w:t xml:space="preserve"> 定量包装商品净含量计量检验规则</w:t>
      </w:r>
    </w:p>
    <w:p>
      <w:pPr>
        <w:pStyle w:val="56"/>
        <w:spacing w:line="400" w:lineRule="exact"/>
        <w:ind w:firstLine="420"/>
        <w:rPr>
          <w:rFonts w:hAnsi="宋体"/>
          <w:szCs w:val="21"/>
        </w:rPr>
      </w:pPr>
      <w:r>
        <w:rPr>
          <w:rFonts w:hint="eastAsia" w:hAnsi="宋体"/>
          <w:szCs w:val="21"/>
        </w:rPr>
        <w:t>NY 861 粮食（含谷物、都累、薯类）及制品中铅、铬、镉、汞、硒、砷、铜、锌等八种元素限量</w:t>
      </w:r>
    </w:p>
    <w:p>
      <w:pPr>
        <w:pStyle w:val="56"/>
        <w:spacing w:line="400" w:lineRule="exact"/>
        <w:ind w:firstLine="420"/>
        <w:rPr>
          <w:rFonts w:hAnsi="宋体" w:cs="微软雅黑"/>
          <w:color w:val="000000"/>
          <w:szCs w:val="21"/>
          <w:lang w:val="zh-CN"/>
        </w:rPr>
      </w:pPr>
      <w:r>
        <w:rPr>
          <w:rFonts w:hAnsi="宋体" w:cs="微软雅黑"/>
          <w:color w:val="000000"/>
          <w:szCs w:val="21"/>
          <w:lang w:val="zh-CN"/>
        </w:rPr>
        <w:t>NY/T 1520</w:t>
      </w:r>
      <w:r>
        <w:rPr>
          <w:rFonts w:hint="eastAsia" w:hAnsi="宋体" w:cs="微软雅黑"/>
          <w:color w:val="000000"/>
          <w:szCs w:val="21"/>
          <w:lang w:val="zh-CN"/>
        </w:rPr>
        <w:t xml:space="preserve"> 木薯</w:t>
      </w:r>
    </w:p>
    <w:p>
      <w:pPr>
        <w:pStyle w:val="56"/>
        <w:spacing w:line="400" w:lineRule="exact"/>
        <w:ind w:firstLine="420"/>
        <w:rPr>
          <w:rFonts w:hAnsi="宋体"/>
          <w:szCs w:val="21"/>
        </w:rPr>
      </w:pPr>
      <w:r>
        <w:rPr>
          <w:rFonts w:hAnsi="宋体"/>
          <w:szCs w:val="21"/>
        </w:rPr>
        <w:t>NY</w:t>
      </w:r>
      <w:r>
        <w:rPr>
          <w:rFonts w:hint="eastAsia" w:hAnsi="宋体"/>
          <w:szCs w:val="21"/>
        </w:rPr>
        <w:t>/</w:t>
      </w:r>
      <w:r>
        <w:rPr>
          <w:rFonts w:hAnsi="宋体"/>
          <w:szCs w:val="21"/>
        </w:rPr>
        <w:t xml:space="preserve">Y 4332 </w:t>
      </w:r>
      <w:r>
        <w:rPr>
          <w:rFonts w:hint="eastAsia" w:hAnsi="宋体"/>
          <w:szCs w:val="21"/>
        </w:rPr>
        <w:t>木薯粉加工技术规范</w:t>
      </w:r>
    </w:p>
    <w:p>
      <w:pPr>
        <w:pStyle w:val="104"/>
        <w:spacing w:before="240" w:after="240"/>
      </w:pPr>
      <w:r>
        <w:rPr>
          <w:rFonts w:hint="eastAsia"/>
          <w:szCs w:val="21"/>
        </w:rPr>
        <w:t>术语和定义</w:t>
      </w:r>
      <w:bookmarkEnd w:id="42"/>
    </w:p>
    <w:sdt>
      <w:sdtPr>
        <w:id w:val="-1909835108"/>
        <w:placeholder>
          <w:docPart w:val="F0CB7330571D4B2BA8CA1619AEABEC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NY/T 4332 界定的术语和定义适用于本文件。</w:t>
          </w:r>
        </w:p>
      </w:sdtContent>
    </w:sdt>
    <w:p>
      <w:pPr>
        <w:pStyle w:val="223"/>
        <w:spacing w:before="120" w:beforeLines="50"/>
        <w:rPr>
          <w:rFonts w:ascii="黑体" w:hAnsi="黑体" w:eastAsia="黑体"/>
        </w:rPr>
      </w:pPr>
      <w:r>
        <w:rPr>
          <w:rFonts w:ascii="黑体" w:hAnsi="黑体" w:eastAsia="黑体"/>
        </w:rPr>
        <w:br w:type="textWrapping"/>
      </w:r>
      <w:r>
        <w:rPr>
          <w:rFonts w:hint="eastAsia" w:ascii="黑体" w:hAnsi="黑体" w:eastAsia="黑体"/>
        </w:rPr>
        <w:t xml:space="preserve">    食用木薯粉 E</w:t>
      </w:r>
      <w:r>
        <w:rPr>
          <w:rFonts w:ascii="黑体" w:hAnsi="黑体" w:eastAsia="黑体"/>
        </w:rPr>
        <w:t xml:space="preserve">dible cassava </w:t>
      </w:r>
      <w:r>
        <w:rPr>
          <w:rFonts w:hint="eastAsia" w:ascii="黑体" w:hAnsi="黑体" w:eastAsia="黑体"/>
        </w:rPr>
        <w:t>flour</w:t>
      </w:r>
    </w:p>
    <w:p>
      <w:pPr>
        <w:pStyle w:val="56"/>
        <w:spacing w:before="120" w:beforeLines="50" w:line="400" w:lineRule="exact"/>
        <w:ind w:firstLine="420"/>
        <w:rPr>
          <w:rFonts w:hAnsi="宋体"/>
        </w:rPr>
      </w:pPr>
      <w:r>
        <w:rPr>
          <w:rFonts w:hint="eastAsia" w:hAnsi="宋体"/>
        </w:rPr>
        <w:t>以食用甜木薯块根为原料，经清洗、去皮、切丝（片）、干燥、粉碎、筛分等工艺加工制成的非即食粉状产品。</w:t>
      </w:r>
    </w:p>
    <w:p>
      <w:pPr>
        <w:pStyle w:val="179"/>
      </w:pPr>
      <w:r>
        <w:rPr>
          <w:rFonts w:hint="eastAsia"/>
        </w:rPr>
        <w:t>[NY/T 4332-2023,定义3.2]</w:t>
      </w:r>
    </w:p>
    <w:p>
      <w:pPr>
        <w:pStyle w:val="104"/>
        <w:spacing w:before="240" w:after="240"/>
      </w:pPr>
      <w:r>
        <w:t>要求</w:t>
      </w:r>
    </w:p>
    <w:p>
      <w:pPr>
        <w:pStyle w:val="105"/>
        <w:spacing w:before="120" w:after="120"/>
      </w:pPr>
      <w:r>
        <w:t>场地要求</w:t>
      </w:r>
    </w:p>
    <w:p>
      <w:pPr>
        <w:pStyle w:val="56"/>
        <w:spacing w:line="400" w:lineRule="exact"/>
        <w:ind w:firstLine="420"/>
      </w:pPr>
      <w:r>
        <w:rPr>
          <w:rFonts w:hint="eastAsia"/>
        </w:rPr>
        <w:t>生产场地应符合GB 14881的要求。</w:t>
      </w:r>
    </w:p>
    <w:p>
      <w:pPr>
        <w:pStyle w:val="105"/>
        <w:spacing w:before="120" w:after="120"/>
      </w:pPr>
      <w:r>
        <w:rPr>
          <w:rFonts w:hint="eastAsia"/>
        </w:rPr>
        <w:t>品种选择</w:t>
      </w:r>
    </w:p>
    <w:p>
      <w:pPr>
        <w:pStyle w:val="56"/>
        <w:spacing w:line="400" w:lineRule="exact"/>
        <w:ind w:firstLine="420"/>
        <w:rPr>
          <w:color w:val="FF0000"/>
        </w:rPr>
      </w:pPr>
      <w:r>
        <w:rPr>
          <w:rFonts w:hint="eastAsia"/>
        </w:rPr>
        <w:t>具有品种的明显特征，质量安全应符合NY/T 1520</w:t>
      </w:r>
      <w:r>
        <w:t>-2021中</w:t>
      </w:r>
      <w:r>
        <w:rPr>
          <w:rFonts w:hint="eastAsia"/>
        </w:rPr>
        <w:t xml:space="preserve"> </w:t>
      </w:r>
      <w:r>
        <w:t>4.2</w:t>
      </w:r>
      <w:r>
        <w:rPr>
          <w:rFonts w:hint="eastAsia"/>
        </w:rPr>
        <w:t>表1的要求。</w:t>
      </w:r>
    </w:p>
    <w:p>
      <w:pPr>
        <w:pStyle w:val="105"/>
        <w:spacing w:before="120" w:after="120"/>
      </w:pPr>
      <w:r>
        <w:rPr>
          <w:rFonts w:hint="eastAsia"/>
        </w:rPr>
        <w:t>鲜薯要求</w:t>
      </w:r>
    </w:p>
    <w:p>
      <w:pPr>
        <w:pStyle w:val="56"/>
        <w:spacing w:line="400" w:lineRule="exact"/>
        <w:ind w:firstLine="420"/>
        <w:rPr>
          <w:rFonts w:hAnsi="宋体"/>
        </w:rPr>
      </w:pPr>
      <w:r>
        <w:rPr>
          <w:rFonts w:hint="eastAsia" w:hAnsi="宋体"/>
        </w:rPr>
        <w:t>应符合NY/T 1520的要求。外观新鲜干净、无明显缺陷。</w:t>
      </w:r>
    </w:p>
    <w:p>
      <w:pPr>
        <w:pStyle w:val="105"/>
        <w:spacing w:before="120" w:after="120"/>
      </w:pPr>
      <w:r>
        <w:rPr>
          <w:rFonts w:hint="eastAsia"/>
        </w:rPr>
        <w:t>去皮</w:t>
      </w:r>
    </w:p>
    <w:p>
      <w:pPr>
        <w:pStyle w:val="56"/>
        <w:spacing w:line="400" w:lineRule="exact"/>
        <w:ind w:firstLine="420"/>
      </w:pPr>
      <w:r>
        <w:rPr>
          <w:rFonts w:hint="eastAsia" w:cs="宋体"/>
        </w:rPr>
        <w:t>用人工或或锉磨机器去除木薯的外皮和内皮。</w:t>
      </w:r>
    </w:p>
    <w:p>
      <w:pPr>
        <w:pStyle w:val="105"/>
        <w:spacing w:before="120" w:after="120"/>
      </w:pPr>
      <w:r>
        <w:rPr>
          <w:rFonts w:hint="eastAsia"/>
        </w:rPr>
        <w:t>清洗</w:t>
      </w:r>
    </w:p>
    <w:p>
      <w:pPr>
        <w:pStyle w:val="56"/>
        <w:spacing w:line="400" w:lineRule="exact"/>
        <w:ind w:firstLine="420"/>
      </w:pPr>
      <w:r>
        <w:rPr>
          <w:rFonts w:hint="eastAsia" w:cs="宋体"/>
        </w:rPr>
        <w:t>对去皮的薯肉清水1-2次，清水应符合GB 5749的规定。</w:t>
      </w:r>
    </w:p>
    <w:p>
      <w:pPr>
        <w:pStyle w:val="105"/>
        <w:spacing w:before="120" w:after="120"/>
      </w:pPr>
      <w:r>
        <w:rPr>
          <w:rFonts w:hint="eastAsia"/>
        </w:rPr>
        <w:t>切片（条）</w:t>
      </w:r>
    </w:p>
    <w:p>
      <w:pPr>
        <w:pStyle w:val="56"/>
        <w:spacing w:line="400" w:lineRule="exact"/>
        <w:ind w:firstLine="420"/>
        <w:rPr>
          <w:rFonts w:hAnsi="宋体"/>
        </w:rPr>
      </w:pPr>
      <w:r>
        <w:rPr>
          <w:rFonts w:hint="eastAsia" w:hAnsi="宋体" w:cs="宋体"/>
        </w:rPr>
        <w:t>采用手动或机器切片、切条，薯片厚度≤0.5cm，切条的薯条宽≤0.5cm。</w:t>
      </w:r>
    </w:p>
    <w:p>
      <w:pPr>
        <w:pStyle w:val="105"/>
        <w:spacing w:before="120" w:after="120"/>
      </w:pPr>
      <w:r>
        <w:rPr>
          <w:rFonts w:hint="eastAsia"/>
        </w:rPr>
        <w:t>干燥</w:t>
      </w:r>
    </w:p>
    <w:p>
      <w:pPr>
        <w:pStyle w:val="56"/>
        <w:spacing w:line="400" w:lineRule="exact"/>
        <w:ind w:firstLine="420"/>
        <w:rPr>
          <w:rFonts w:hAnsi="宋体" w:cs="宋体"/>
        </w:rPr>
      </w:pPr>
      <w:r>
        <w:rPr>
          <w:rFonts w:hint="eastAsia" w:hAnsi="宋体" w:cs="宋体"/>
        </w:rPr>
        <w:t>室外太阳日晒干燥或用烘箱（65℃，约8h）干燥，含水量≤13%。</w:t>
      </w:r>
    </w:p>
    <w:p>
      <w:pPr>
        <w:pStyle w:val="105"/>
        <w:spacing w:before="120" w:after="120"/>
      </w:pPr>
      <w:r>
        <w:rPr>
          <w:rFonts w:hint="eastAsia"/>
        </w:rPr>
        <w:t>粉碎、筛分</w:t>
      </w:r>
    </w:p>
    <w:p>
      <w:pPr>
        <w:pStyle w:val="56"/>
        <w:spacing w:line="400" w:lineRule="exact"/>
        <w:ind w:firstLine="420"/>
        <w:rPr>
          <w:rFonts w:hAnsi="宋体" w:cs="宋体"/>
        </w:rPr>
      </w:pPr>
      <w:r>
        <w:rPr>
          <w:rFonts w:hint="eastAsia" w:hAnsi="宋体" w:cs="宋体"/>
        </w:rPr>
        <w:t>将干燥的木薯片、丝用粉碎机粉碎至粉末状，再利用0.180mm（80目）筛孔的不锈钢筛或振动筛进行筛分。</w:t>
      </w:r>
    </w:p>
    <w:p>
      <w:pPr>
        <w:pStyle w:val="104"/>
        <w:spacing w:before="240" w:after="240"/>
      </w:pPr>
      <w:r>
        <w:rPr>
          <w:rFonts w:hint="eastAsia"/>
        </w:rPr>
        <w:t>质量要求</w:t>
      </w:r>
    </w:p>
    <w:p>
      <w:pPr>
        <w:pStyle w:val="105"/>
        <w:spacing w:before="120" w:after="120"/>
      </w:pPr>
      <w:r>
        <w:rPr>
          <w:rFonts w:hint="eastAsia"/>
        </w:rPr>
        <w:t>感官评价</w:t>
      </w:r>
    </w:p>
    <w:p>
      <w:pPr>
        <w:pStyle w:val="56"/>
        <w:spacing w:line="400" w:lineRule="exact"/>
        <w:ind w:firstLine="420"/>
        <w:rPr>
          <w:rFonts w:hAnsi="宋体" w:cs="宋体"/>
        </w:rPr>
      </w:pPr>
      <w:r>
        <w:rPr>
          <w:rFonts w:hint="eastAsia" w:hAnsi="宋体" w:cs="宋体"/>
        </w:rPr>
        <w:t>应符合表1 的规定。</w:t>
      </w:r>
    </w:p>
    <w:p>
      <w:pPr>
        <w:pStyle w:val="112"/>
        <w:spacing w:before="120" w:after="120"/>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2"/>
        <w:gridCol w:w="4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tblHeader/>
          <w:jc w:val="center"/>
        </w:trPr>
        <w:tc>
          <w:tcPr>
            <w:tcW w:w="2132" w:type="dxa"/>
            <w:tcBorders>
              <w:top w:val="single" w:color="auto" w:sz="8" w:space="0"/>
              <w:bottom w:val="single" w:color="auto" w:sz="8" w:space="0"/>
            </w:tcBorders>
            <w:shd w:val="clear" w:color="auto" w:fill="auto"/>
            <w:vAlign w:val="center"/>
          </w:tcPr>
          <w:p>
            <w:pPr>
              <w:pStyle w:val="178"/>
            </w:pPr>
            <w:r>
              <w:rPr>
                <w:rFonts w:hint="eastAsia"/>
              </w:rPr>
              <w:t>项目</w:t>
            </w:r>
          </w:p>
        </w:tc>
        <w:tc>
          <w:tcPr>
            <w:tcW w:w="4893" w:type="dxa"/>
            <w:tcBorders>
              <w:top w:val="single" w:color="auto" w:sz="8" w:space="0"/>
              <w:bottom w:val="single" w:color="auto" w:sz="8"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2132" w:type="dxa"/>
            <w:tcBorders>
              <w:top w:val="single" w:color="auto" w:sz="8" w:space="0"/>
            </w:tcBorders>
            <w:shd w:val="clear" w:color="auto" w:fill="auto"/>
            <w:vAlign w:val="center"/>
          </w:tcPr>
          <w:p>
            <w:pPr>
              <w:pStyle w:val="178"/>
            </w:pPr>
            <w:r>
              <w:rPr>
                <w:rFonts w:hint="eastAsia"/>
              </w:rPr>
              <w:t>色泽</w:t>
            </w:r>
          </w:p>
        </w:tc>
        <w:tc>
          <w:tcPr>
            <w:tcW w:w="4893" w:type="dxa"/>
            <w:tcBorders>
              <w:top w:val="single" w:color="auto" w:sz="8" w:space="0"/>
            </w:tcBorders>
            <w:shd w:val="clear" w:color="auto" w:fill="auto"/>
            <w:vAlign w:val="center"/>
          </w:tcPr>
          <w:p>
            <w:pPr>
              <w:pStyle w:val="178"/>
            </w:pPr>
            <w:r>
              <w:rPr>
                <w:rFonts w:hint="eastAsia"/>
              </w:rPr>
              <w:t>具有木薯固有的白色或淡黄色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2132" w:type="dxa"/>
            <w:shd w:val="clear" w:color="auto" w:fill="auto"/>
            <w:vAlign w:val="center"/>
          </w:tcPr>
          <w:p>
            <w:pPr>
              <w:pStyle w:val="178"/>
            </w:pPr>
            <w:r>
              <w:rPr>
                <w:rFonts w:hint="eastAsia"/>
              </w:rPr>
              <w:t>滋味、气味</w:t>
            </w:r>
          </w:p>
        </w:tc>
        <w:tc>
          <w:tcPr>
            <w:tcW w:w="4893" w:type="dxa"/>
            <w:shd w:val="clear" w:color="auto" w:fill="auto"/>
            <w:vAlign w:val="center"/>
          </w:tcPr>
          <w:p>
            <w:pPr>
              <w:pStyle w:val="178"/>
            </w:pPr>
            <w:r>
              <w:rPr>
                <w:rFonts w:hint="eastAsia"/>
              </w:rPr>
              <w:t>具有食用木薯粉固有的滋味和气味，无异味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132" w:type="dxa"/>
            <w:shd w:val="clear" w:color="auto" w:fill="auto"/>
            <w:vAlign w:val="center"/>
          </w:tcPr>
          <w:p>
            <w:pPr>
              <w:pStyle w:val="178"/>
            </w:pPr>
            <w:r>
              <w:rPr>
                <w:rFonts w:hint="eastAsia"/>
              </w:rPr>
              <w:t>组织形态</w:t>
            </w:r>
          </w:p>
        </w:tc>
        <w:tc>
          <w:tcPr>
            <w:tcW w:w="4893" w:type="dxa"/>
            <w:shd w:val="clear" w:color="auto" w:fill="auto"/>
            <w:vAlign w:val="center"/>
          </w:tcPr>
          <w:p>
            <w:pPr>
              <w:pStyle w:val="178"/>
            </w:pPr>
            <w:r>
              <w:rPr>
                <w:rFonts w:hint="eastAsia"/>
              </w:rPr>
              <w:t>均匀的粉末、无结块、无霉变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2132" w:type="dxa"/>
            <w:shd w:val="clear" w:color="auto" w:fill="auto"/>
            <w:vAlign w:val="center"/>
          </w:tcPr>
          <w:p>
            <w:pPr>
              <w:pStyle w:val="178"/>
            </w:pPr>
            <w:r>
              <w:rPr>
                <w:rFonts w:hint="eastAsia"/>
              </w:rPr>
              <w:t>杂质</w:t>
            </w:r>
          </w:p>
        </w:tc>
        <w:tc>
          <w:tcPr>
            <w:tcW w:w="4893" w:type="dxa"/>
            <w:shd w:val="clear" w:color="auto" w:fill="auto"/>
            <w:vAlign w:val="center"/>
          </w:tcPr>
          <w:p>
            <w:pPr>
              <w:pStyle w:val="178"/>
            </w:pPr>
            <w:r>
              <w:rPr>
                <w:rFonts w:hint="eastAsia"/>
              </w:rPr>
              <w:t>无杂质</w:t>
            </w:r>
          </w:p>
        </w:tc>
      </w:tr>
    </w:tbl>
    <w:p>
      <w:pPr>
        <w:pStyle w:val="105"/>
        <w:spacing w:before="120" w:after="120"/>
      </w:pPr>
      <w:r>
        <w:rPr>
          <w:rFonts w:hint="eastAsia"/>
        </w:rPr>
        <w:t>理化指标</w:t>
      </w:r>
    </w:p>
    <w:p>
      <w:pPr>
        <w:pStyle w:val="56"/>
        <w:spacing w:line="400" w:lineRule="exact"/>
        <w:ind w:firstLine="420"/>
        <w:rPr>
          <w:rFonts w:hAnsi="宋体" w:cs="宋体"/>
        </w:rPr>
      </w:pPr>
      <w:r>
        <w:rPr>
          <w:rFonts w:hint="eastAsia" w:hAnsi="宋体" w:cs="宋体"/>
        </w:rPr>
        <w:t>食用木薯粉理化指标应符合表</w:t>
      </w:r>
      <w:r>
        <w:rPr>
          <w:rFonts w:hAnsi="宋体" w:cs="宋体"/>
        </w:rPr>
        <w:t>2</w:t>
      </w:r>
      <w:r>
        <w:rPr>
          <w:rFonts w:hint="eastAsia" w:hAnsi="宋体" w:cs="宋体"/>
        </w:rPr>
        <w:t>的要求。</w:t>
      </w:r>
    </w:p>
    <w:p>
      <w:pPr>
        <w:pStyle w:val="112"/>
        <w:spacing w:before="120" w:after="120"/>
        <w:rPr>
          <w:rFonts w:cs="黑体"/>
        </w:rPr>
      </w:pPr>
      <w:r>
        <w:rPr>
          <w:rFonts w:hint="eastAsia" w:cs="黑体"/>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0"/>
        <w:gridCol w:w="3575"/>
        <w:gridCol w:w="3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tblHeader/>
          <w:jc w:val="center"/>
        </w:trPr>
        <w:tc>
          <w:tcPr>
            <w:tcW w:w="2210" w:type="dxa"/>
            <w:tcBorders>
              <w:top w:val="single" w:color="auto" w:sz="8" w:space="0"/>
              <w:bottom w:val="single" w:color="auto" w:sz="8" w:space="0"/>
            </w:tcBorders>
            <w:shd w:val="clear" w:color="auto" w:fill="auto"/>
            <w:vAlign w:val="center"/>
          </w:tcPr>
          <w:p>
            <w:pPr>
              <w:pStyle w:val="178"/>
            </w:pPr>
            <w:r>
              <w:rPr>
                <w:rFonts w:hint="eastAsia" w:hAnsi="宋体"/>
              </w:rPr>
              <w:t>指标</w:t>
            </w:r>
            <w:r>
              <w:rPr>
                <w:rFonts w:hAnsi="宋体"/>
              </w:rPr>
              <w:t>，单位</w:t>
            </w:r>
          </w:p>
        </w:tc>
        <w:tc>
          <w:tcPr>
            <w:tcW w:w="3575" w:type="dxa"/>
            <w:tcBorders>
              <w:top w:val="single" w:color="auto" w:sz="8" w:space="0"/>
              <w:bottom w:val="single" w:color="auto" w:sz="8" w:space="0"/>
            </w:tcBorders>
            <w:vAlign w:val="center"/>
          </w:tcPr>
          <w:p>
            <w:pPr>
              <w:pStyle w:val="178"/>
              <w:rPr>
                <w:rFonts w:hAnsi="宋体"/>
              </w:rPr>
            </w:pPr>
            <w:r>
              <w:rPr>
                <w:rFonts w:hint="eastAsia" w:hAnsi="宋体"/>
              </w:rPr>
              <w:t>数</w:t>
            </w:r>
            <w:r>
              <w:rPr>
                <w:rFonts w:hAnsi="宋体"/>
              </w:rPr>
              <w:t>值</w:t>
            </w:r>
          </w:p>
        </w:tc>
        <w:tc>
          <w:tcPr>
            <w:tcW w:w="3589" w:type="dxa"/>
            <w:tcBorders>
              <w:top w:val="single" w:color="auto" w:sz="8" w:space="0"/>
              <w:bottom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2210" w:type="dxa"/>
            <w:tcBorders>
              <w:top w:val="single" w:color="auto" w:sz="8" w:space="0"/>
            </w:tcBorders>
            <w:shd w:val="clear" w:color="auto" w:fill="auto"/>
            <w:vAlign w:val="center"/>
          </w:tcPr>
          <w:p>
            <w:pPr>
              <w:pStyle w:val="178"/>
            </w:pPr>
            <w:r>
              <w:rPr>
                <w:rFonts w:hint="eastAsia" w:hAnsi="宋体"/>
              </w:rPr>
              <w:t>细度（80目筛通过率），%</w:t>
            </w:r>
          </w:p>
        </w:tc>
        <w:tc>
          <w:tcPr>
            <w:tcW w:w="3575" w:type="dxa"/>
            <w:tcBorders>
              <w:top w:val="single" w:color="auto" w:sz="8" w:space="0"/>
            </w:tcBorders>
            <w:vAlign w:val="center"/>
          </w:tcPr>
          <w:p>
            <w:pPr>
              <w:pStyle w:val="178"/>
              <w:rPr>
                <w:rFonts w:hAnsi="宋体"/>
              </w:rPr>
            </w:pPr>
            <w:r>
              <w:rPr>
                <w:rFonts w:hint="eastAsia" w:hAnsi="宋体"/>
              </w:rPr>
              <w:t>≥99.0</w:t>
            </w:r>
          </w:p>
        </w:tc>
        <w:tc>
          <w:tcPr>
            <w:tcW w:w="3589" w:type="dxa"/>
            <w:tcBorders>
              <w:top w:val="single" w:color="auto" w:sz="8" w:space="0"/>
            </w:tcBorders>
            <w:shd w:val="clear" w:color="auto" w:fill="auto"/>
            <w:vAlign w:val="center"/>
          </w:tcPr>
          <w:p>
            <w:pPr>
              <w:pStyle w:val="178"/>
            </w:pPr>
            <w:r>
              <w:rPr>
                <w:rFonts w:hint="eastAsia"/>
              </w:rPr>
              <w:t>GB/T 22427.5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2210" w:type="dxa"/>
            <w:shd w:val="clear" w:color="auto" w:fill="auto"/>
            <w:vAlign w:val="center"/>
          </w:tcPr>
          <w:p>
            <w:pPr>
              <w:pStyle w:val="178"/>
            </w:pPr>
            <w:r>
              <w:rPr>
                <w:rFonts w:hAnsi="宋体"/>
              </w:rPr>
              <w:t>水分，%</w:t>
            </w:r>
          </w:p>
        </w:tc>
        <w:tc>
          <w:tcPr>
            <w:tcW w:w="3575" w:type="dxa"/>
            <w:vAlign w:val="center"/>
          </w:tcPr>
          <w:p>
            <w:pPr>
              <w:pStyle w:val="178"/>
              <w:rPr>
                <w:rFonts w:hAnsi="宋体"/>
              </w:rPr>
            </w:pPr>
            <w:r>
              <w:rPr>
                <w:rFonts w:hAnsi="宋体"/>
              </w:rPr>
              <w:t>≤13.0</w:t>
            </w:r>
          </w:p>
        </w:tc>
        <w:tc>
          <w:tcPr>
            <w:tcW w:w="3589" w:type="dxa"/>
            <w:shd w:val="clear" w:color="auto" w:fill="auto"/>
            <w:vAlign w:val="center"/>
          </w:tcPr>
          <w:p>
            <w:pPr>
              <w:pStyle w:val="178"/>
            </w:pPr>
            <w:r>
              <w:rPr>
                <w:rFonts w:hint="eastAsia"/>
              </w:rPr>
              <w:t>GB 5009.3(第一法)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2210" w:type="dxa"/>
            <w:shd w:val="clear" w:color="auto" w:fill="auto"/>
            <w:vAlign w:val="center"/>
          </w:tcPr>
          <w:p>
            <w:pPr>
              <w:pStyle w:val="178"/>
            </w:pPr>
            <w:r>
              <w:rPr>
                <w:rFonts w:hint="eastAsia" w:hAnsi="宋体"/>
              </w:rPr>
              <w:t>灰分，g/100g</w:t>
            </w:r>
          </w:p>
        </w:tc>
        <w:tc>
          <w:tcPr>
            <w:tcW w:w="3575" w:type="dxa"/>
            <w:vAlign w:val="center"/>
          </w:tcPr>
          <w:p>
            <w:pPr>
              <w:pStyle w:val="178"/>
              <w:rPr>
                <w:rFonts w:hAnsi="宋体"/>
              </w:rPr>
            </w:pPr>
            <w:r>
              <w:rPr>
                <w:rFonts w:hAnsi="宋体"/>
              </w:rPr>
              <w:t>≤</w:t>
            </w:r>
            <w:r>
              <w:rPr>
                <w:rFonts w:hint="eastAsia" w:hAnsi="宋体"/>
              </w:rPr>
              <w:t>3.0</w:t>
            </w:r>
          </w:p>
        </w:tc>
        <w:tc>
          <w:tcPr>
            <w:tcW w:w="3589" w:type="dxa"/>
            <w:shd w:val="clear" w:color="auto" w:fill="auto"/>
            <w:vAlign w:val="center"/>
          </w:tcPr>
          <w:p>
            <w:pPr>
              <w:pStyle w:val="178"/>
            </w:pPr>
            <w:r>
              <w:rPr>
                <w:rFonts w:hint="eastAsia"/>
              </w:rPr>
              <w:t>GB 5009.4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2210" w:type="dxa"/>
            <w:shd w:val="clear" w:color="auto" w:fill="auto"/>
            <w:vAlign w:val="center"/>
          </w:tcPr>
          <w:p>
            <w:pPr>
              <w:pStyle w:val="178"/>
            </w:pPr>
            <w:r>
              <w:rPr>
                <w:rFonts w:hint="eastAsia" w:hAnsi="宋体"/>
              </w:rPr>
              <w:t>粗纤维，g/100g</w:t>
            </w:r>
          </w:p>
        </w:tc>
        <w:tc>
          <w:tcPr>
            <w:tcW w:w="3575" w:type="dxa"/>
            <w:vAlign w:val="center"/>
          </w:tcPr>
          <w:p>
            <w:pPr>
              <w:pStyle w:val="178"/>
              <w:rPr>
                <w:rFonts w:hAnsi="宋体"/>
              </w:rPr>
            </w:pPr>
            <w:r>
              <w:rPr>
                <w:rFonts w:hAnsi="宋体"/>
              </w:rPr>
              <w:t>≤</w:t>
            </w:r>
            <w:r>
              <w:rPr>
                <w:rFonts w:hint="eastAsia" w:hAnsi="宋体"/>
              </w:rPr>
              <w:t>3.0</w:t>
            </w:r>
          </w:p>
        </w:tc>
        <w:tc>
          <w:tcPr>
            <w:tcW w:w="3589" w:type="dxa"/>
            <w:shd w:val="clear" w:color="auto" w:fill="auto"/>
            <w:vAlign w:val="center"/>
          </w:tcPr>
          <w:p>
            <w:pPr>
              <w:pStyle w:val="178"/>
            </w:pPr>
            <w:r>
              <w:rPr>
                <w:rFonts w:hint="eastAsia"/>
              </w:rPr>
              <w:t>GB/T 5515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2210" w:type="dxa"/>
            <w:tcBorders>
              <w:bottom w:val="single" w:color="auto" w:sz="8" w:space="0"/>
            </w:tcBorders>
            <w:shd w:val="clear" w:color="auto" w:fill="auto"/>
            <w:vAlign w:val="center"/>
          </w:tcPr>
          <w:p>
            <w:pPr>
              <w:pStyle w:val="178"/>
            </w:pPr>
            <w:r>
              <w:rPr>
                <w:rFonts w:hint="eastAsia"/>
              </w:rPr>
              <w:t>斑点，个/cm</w:t>
            </w:r>
            <w:r>
              <w:rPr>
                <w:rFonts w:hint="eastAsia"/>
                <w:vertAlign w:val="superscript"/>
              </w:rPr>
              <w:t>2</w:t>
            </w:r>
          </w:p>
        </w:tc>
        <w:tc>
          <w:tcPr>
            <w:tcW w:w="3575" w:type="dxa"/>
            <w:tcBorders>
              <w:bottom w:val="single" w:color="auto" w:sz="8" w:space="0"/>
            </w:tcBorders>
            <w:vAlign w:val="center"/>
          </w:tcPr>
          <w:p>
            <w:pPr>
              <w:pStyle w:val="178"/>
            </w:pPr>
            <w:r>
              <w:rPr>
                <w:rFonts w:hint="eastAsia"/>
              </w:rPr>
              <w:t>≤6.0</w:t>
            </w:r>
          </w:p>
        </w:tc>
        <w:tc>
          <w:tcPr>
            <w:tcW w:w="3589" w:type="dxa"/>
            <w:tcBorders>
              <w:bottom w:val="single" w:color="auto" w:sz="8" w:space="0"/>
            </w:tcBorders>
            <w:shd w:val="clear" w:color="auto" w:fill="auto"/>
            <w:vAlign w:val="center"/>
          </w:tcPr>
          <w:p>
            <w:pPr>
              <w:pStyle w:val="178"/>
            </w:pPr>
            <w:r>
              <w:rPr>
                <w:rFonts w:hint="eastAsia"/>
              </w:rPr>
              <w:t>GB/T 22427.4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2210" w:type="dxa"/>
            <w:tcBorders>
              <w:bottom w:val="single" w:color="auto" w:sz="8" w:space="0"/>
            </w:tcBorders>
            <w:shd w:val="clear" w:color="auto" w:fill="auto"/>
            <w:vAlign w:val="center"/>
          </w:tcPr>
          <w:p>
            <w:pPr>
              <w:pStyle w:val="178"/>
            </w:pPr>
            <w:r>
              <w:rPr>
                <w:rFonts w:hAnsi="宋体"/>
              </w:rPr>
              <w:t>氢氰酸（以HCN计），mg/kg</w:t>
            </w:r>
          </w:p>
        </w:tc>
        <w:tc>
          <w:tcPr>
            <w:tcW w:w="3575" w:type="dxa"/>
            <w:tcBorders>
              <w:bottom w:val="single" w:color="auto" w:sz="8" w:space="0"/>
            </w:tcBorders>
            <w:vAlign w:val="center"/>
          </w:tcPr>
          <w:p>
            <w:pPr>
              <w:pStyle w:val="178"/>
              <w:rPr>
                <w:rFonts w:hAnsi="宋体"/>
              </w:rPr>
            </w:pPr>
            <w:r>
              <w:rPr>
                <w:rFonts w:hAnsi="宋体"/>
              </w:rPr>
              <w:t>≤10.0</w:t>
            </w:r>
          </w:p>
        </w:tc>
        <w:tc>
          <w:tcPr>
            <w:tcW w:w="3589" w:type="dxa"/>
            <w:tcBorders>
              <w:bottom w:val="single" w:color="auto" w:sz="8" w:space="0"/>
            </w:tcBorders>
            <w:shd w:val="clear" w:color="auto" w:fill="auto"/>
            <w:vAlign w:val="center"/>
          </w:tcPr>
          <w:p>
            <w:pPr>
              <w:pStyle w:val="178"/>
            </w:pPr>
            <w:r>
              <w:rPr>
                <w:rFonts w:hint="eastAsia"/>
              </w:rPr>
              <w:t>GB 5009.36(第一法)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9374" w:type="dxa"/>
            <w:gridSpan w:val="3"/>
            <w:tcBorders>
              <w:top w:val="single" w:color="auto" w:sz="8" w:space="0"/>
              <w:bottom w:val="single" w:color="auto" w:sz="8" w:space="0"/>
            </w:tcBorders>
          </w:tcPr>
          <w:p>
            <w:pPr>
              <w:pStyle w:val="178"/>
              <w:jc w:val="both"/>
            </w:pPr>
            <w:r>
              <w:rPr>
                <w:rFonts w:hint="eastAsia"/>
              </w:rPr>
              <w:t>注：所有理化指标都以木薯干基或鲜薯脱水率转化计算。</w:t>
            </w:r>
          </w:p>
        </w:tc>
      </w:tr>
    </w:tbl>
    <w:p>
      <w:pPr>
        <w:pStyle w:val="105"/>
        <w:spacing w:before="120" w:after="120"/>
      </w:pPr>
      <w:r>
        <w:rPr>
          <w:rFonts w:hint="eastAsia"/>
        </w:rPr>
        <w:t>质量安全</w:t>
      </w:r>
    </w:p>
    <w:p>
      <w:pPr>
        <w:pStyle w:val="56"/>
        <w:spacing w:line="400" w:lineRule="exact"/>
        <w:ind w:firstLine="420"/>
        <w:rPr>
          <w:rFonts w:hAnsi="宋体" w:cs="宋体"/>
        </w:rPr>
      </w:pPr>
      <w:r>
        <w:rPr>
          <w:rFonts w:hint="eastAsia" w:hAnsi="宋体" w:cs="宋体"/>
        </w:rPr>
        <w:t>真菌毒素、污染物限量及农药残留限量应符合GB 2761、GB 2762和GB 2763 等相关食品安全国家标准及规定，部分污染物限量指标参照NY 861执行，应符合表3的要求。</w:t>
      </w:r>
    </w:p>
    <w:p>
      <w:pPr>
        <w:pStyle w:val="112"/>
        <w:spacing w:before="120" w:after="120"/>
      </w:pPr>
      <w:r>
        <w:t>污染物限量指标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pPr>
              <w:pStyle w:val="178"/>
            </w:pPr>
            <w:r>
              <w:rPr>
                <w:rFonts w:hint="eastAsia" w:hAnsi="宋体"/>
              </w:rPr>
              <w:t>指标</w:t>
            </w:r>
            <w:r>
              <w:rPr>
                <w:rFonts w:hAnsi="宋体"/>
              </w:rPr>
              <w:t>，单位</w:t>
            </w:r>
          </w:p>
        </w:tc>
        <w:tc>
          <w:tcPr>
            <w:tcW w:w="3125" w:type="dxa"/>
            <w:tcBorders>
              <w:top w:val="single" w:color="auto" w:sz="8" w:space="0"/>
              <w:bottom w:val="single" w:color="auto" w:sz="8" w:space="0"/>
            </w:tcBorders>
            <w:shd w:val="clear" w:color="auto" w:fill="auto"/>
            <w:vAlign w:val="center"/>
          </w:tcPr>
          <w:p>
            <w:pPr>
              <w:pStyle w:val="178"/>
            </w:pPr>
            <w:r>
              <w:rPr>
                <w:rFonts w:hint="eastAsia" w:hAnsi="宋体"/>
              </w:rPr>
              <w:t>数</w:t>
            </w:r>
            <w:r>
              <w:rPr>
                <w:rFonts w:hAnsi="宋体"/>
              </w:rPr>
              <w:t>值</w:t>
            </w:r>
          </w:p>
        </w:tc>
        <w:tc>
          <w:tcPr>
            <w:tcW w:w="3125" w:type="dxa"/>
            <w:tcBorders>
              <w:top w:val="single" w:color="auto" w:sz="8" w:space="0"/>
              <w:bottom w:val="single" w:color="auto" w:sz="8" w:space="0"/>
            </w:tcBorders>
            <w:shd w:val="clear" w:color="auto" w:fill="auto"/>
          </w:tcPr>
          <w:p>
            <w:pPr>
              <w:pStyle w:val="178"/>
            </w:pPr>
            <w:r>
              <w:rPr>
                <w:rFonts w:hint="eastAsia" w:hAnsi="宋体"/>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pPr>
              <w:pStyle w:val="178"/>
            </w:pPr>
            <w:r>
              <w:rPr>
                <w:rFonts w:hAnsi="宋体"/>
              </w:rPr>
              <w:t>铅（以Pb计）</w:t>
            </w:r>
            <w:r>
              <w:rPr>
                <w:rFonts w:hint="eastAsia" w:hAnsi="宋体"/>
              </w:rPr>
              <w:t>，</w:t>
            </w:r>
            <w:r>
              <w:rPr>
                <w:rFonts w:hAnsi="宋体"/>
              </w:rPr>
              <w:t>mg/kg</w:t>
            </w:r>
          </w:p>
        </w:tc>
        <w:tc>
          <w:tcPr>
            <w:tcW w:w="3125" w:type="dxa"/>
            <w:tcBorders>
              <w:top w:val="single" w:color="auto" w:sz="8" w:space="0"/>
            </w:tcBorders>
            <w:shd w:val="clear" w:color="auto" w:fill="auto"/>
            <w:vAlign w:val="center"/>
          </w:tcPr>
          <w:p>
            <w:pPr>
              <w:pStyle w:val="178"/>
            </w:pPr>
            <w:r>
              <w:rPr>
                <w:rFonts w:hAnsi="宋体"/>
              </w:rPr>
              <w:t>≤0.</w:t>
            </w:r>
            <w:r>
              <w:rPr>
                <w:rFonts w:hint="eastAsia" w:hAnsi="宋体"/>
              </w:rPr>
              <w:t>9</w:t>
            </w:r>
          </w:p>
        </w:tc>
        <w:tc>
          <w:tcPr>
            <w:tcW w:w="3125" w:type="dxa"/>
            <w:tcBorders>
              <w:top w:val="single" w:color="auto" w:sz="8" w:space="0"/>
            </w:tcBorders>
            <w:shd w:val="clear" w:color="auto" w:fill="auto"/>
          </w:tcPr>
          <w:p>
            <w:pPr>
              <w:pStyle w:val="178"/>
            </w:pPr>
            <w:r>
              <w:t>G</w:t>
            </w:r>
            <w:r>
              <w:rPr>
                <w:rFonts w:hint="eastAsia"/>
              </w:rPr>
              <w:t>B 5009.12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8"/>
            </w:pPr>
            <w:r>
              <w:rPr>
                <w:rFonts w:hAnsi="宋体"/>
              </w:rPr>
              <w:t>镉</w:t>
            </w:r>
            <w:r>
              <w:rPr>
                <w:rFonts w:hint="eastAsia" w:hAnsi="宋体"/>
              </w:rPr>
              <w:t xml:space="preserve"> </w:t>
            </w:r>
            <w:r>
              <w:rPr>
                <w:rFonts w:hAnsi="宋体"/>
              </w:rPr>
              <w:t>(以Cd计) ，mg/kg</w:t>
            </w:r>
          </w:p>
        </w:tc>
        <w:tc>
          <w:tcPr>
            <w:tcW w:w="3125" w:type="dxa"/>
            <w:shd w:val="clear" w:color="auto" w:fill="auto"/>
            <w:vAlign w:val="center"/>
          </w:tcPr>
          <w:p>
            <w:pPr>
              <w:pStyle w:val="178"/>
            </w:pPr>
            <w:r>
              <w:rPr>
                <w:rFonts w:hAnsi="宋体"/>
              </w:rPr>
              <w:t>≤0.</w:t>
            </w:r>
            <w:r>
              <w:rPr>
                <w:rFonts w:hint="eastAsia" w:hAnsi="宋体"/>
              </w:rPr>
              <w:t>2</w:t>
            </w:r>
          </w:p>
        </w:tc>
        <w:tc>
          <w:tcPr>
            <w:tcW w:w="3125" w:type="dxa"/>
            <w:shd w:val="clear" w:color="auto" w:fill="auto"/>
          </w:tcPr>
          <w:p>
            <w:pPr>
              <w:pStyle w:val="178"/>
            </w:pPr>
            <w:r>
              <w:t>G</w:t>
            </w:r>
            <w:r>
              <w:rPr>
                <w:rFonts w:hint="eastAsia"/>
              </w:rPr>
              <w:t>B 5009.15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8"/>
            </w:pPr>
            <w:r>
              <w:rPr>
                <w:rFonts w:hAnsi="宋体"/>
              </w:rPr>
              <w:t>总汞（以</w:t>
            </w:r>
            <w:r>
              <w:rPr>
                <w:rFonts w:hint="eastAsia" w:hAnsi="宋体"/>
              </w:rPr>
              <w:t>Hg计</w:t>
            </w:r>
            <w:r>
              <w:rPr>
                <w:rFonts w:hAnsi="宋体"/>
              </w:rPr>
              <w:t>），mg/kg</w:t>
            </w:r>
          </w:p>
        </w:tc>
        <w:tc>
          <w:tcPr>
            <w:tcW w:w="3125" w:type="dxa"/>
            <w:shd w:val="clear" w:color="auto" w:fill="auto"/>
            <w:vAlign w:val="center"/>
          </w:tcPr>
          <w:p>
            <w:pPr>
              <w:pStyle w:val="178"/>
            </w:pPr>
            <w:r>
              <w:rPr>
                <w:rFonts w:hAnsi="宋体"/>
              </w:rPr>
              <w:t>≤0.</w:t>
            </w:r>
            <w:r>
              <w:rPr>
                <w:rFonts w:hint="eastAsia" w:hAnsi="宋体"/>
              </w:rPr>
              <w:t>02</w:t>
            </w:r>
          </w:p>
        </w:tc>
        <w:tc>
          <w:tcPr>
            <w:tcW w:w="3125" w:type="dxa"/>
            <w:shd w:val="clear" w:color="auto" w:fill="auto"/>
          </w:tcPr>
          <w:p>
            <w:pPr>
              <w:pStyle w:val="178"/>
            </w:pPr>
            <w:r>
              <w:t>G</w:t>
            </w:r>
            <w:r>
              <w:rPr>
                <w:rFonts w:hint="eastAsia"/>
              </w:rPr>
              <w:t>B 5009.17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8"/>
            </w:pPr>
            <w:r>
              <w:rPr>
                <w:rFonts w:hint="eastAsia" w:hAnsi="宋体"/>
              </w:rPr>
              <w:t>总砷（As），</w:t>
            </w:r>
            <w:r>
              <w:rPr>
                <w:rFonts w:hAnsi="宋体"/>
              </w:rPr>
              <w:t>mg/kg</w:t>
            </w:r>
          </w:p>
        </w:tc>
        <w:tc>
          <w:tcPr>
            <w:tcW w:w="3125" w:type="dxa"/>
            <w:shd w:val="clear" w:color="auto" w:fill="auto"/>
            <w:vAlign w:val="center"/>
          </w:tcPr>
          <w:p>
            <w:pPr>
              <w:pStyle w:val="178"/>
            </w:pPr>
            <w:r>
              <w:rPr>
                <w:rFonts w:hint="eastAsia" w:hAnsi="宋体"/>
              </w:rPr>
              <w:t>≤0.3</w:t>
            </w:r>
          </w:p>
        </w:tc>
        <w:tc>
          <w:tcPr>
            <w:tcW w:w="3125" w:type="dxa"/>
            <w:shd w:val="clear" w:color="auto" w:fill="auto"/>
          </w:tcPr>
          <w:p>
            <w:pPr>
              <w:pStyle w:val="178"/>
            </w:pPr>
            <w:r>
              <w:t>G</w:t>
            </w:r>
            <w:r>
              <w:rPr>
                <w:rFonts w:hint="eastAsia"/>
              </w:rPr>
              <w:t>B 5009.11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bottom w:val="single" w:color="auto" w:sz="8" w:space="0"/>
            </w:tcBorders>
            <w:shd w:val="clear" w:color="auto" w:fill="auto"/>
            <w:vAlign w:val="center"/>
          </w:tcPr>
          <w:p>
            <w:pPr>
              <w:pStyle w:val="178"/>
            </w:pPr>
            <w:r>
              <w:rPr>
                <w:rFonts w:hint="eastAsia" w:hAnsi="宋体"/>
                <w:szCs w:val="18"/>
              </w:rPr>
              <w:t>铬（以 Cr 计），</w:t>
            </w:r>
            <w:r>
              <w:rPr>
                <w:rFonts w:hAnsi="宋体"/>
                <w:szCs w:val="18"/>
              </w:rPr>
              <w:t>mg/kg</w:t>
            </w:r>
          </w:p>
        </w:tc>
        <w:tc>
          <w:tcPr>
            <w:tcW w:w="3125" w:type="dxa"/>
            <w:tcBorders>
              <w:bottom w:val="single" w:color="auto" w:sz="8" w:space="0"/>
            </w:tcBorders>
            <w:shd w:val="clear" w:color="auto" w:fill="auto"/>
            <w:vAlign w:val="center"/>
          </w:tcPr>
          <w:p>
            <w:pPr>
              <w:pStyle w:val="178"/>
            </w:pPr>
            <w:r>
              <w:rPr>
                <w:rFonts w:hAnsi="宋体"/>
              </w:rPr>
              <w:t>≤</w:t>
            </w:r>
            <w:r>
              <w:rPr>
                <w:rFonts w:hint="eastAsia" w:hAnsi="宋体"/>
              </w:rPr>
              <w:t>1.0</w:t>
            </w:r>
          </w:p>
        </w:tc>
        <w:tc>
          <w:tcPr>
            <w:tcW w:w="3125" w:type="dxa"/>
            <w:tcBorders>
              <w:bottom w:val="single" w:color="auto" w:sz="8" w:space="0"/>
            </w:tcBorders>
            <w:shd w:val="clear" w:color="auto" w:fill="auto"/>
          </w:tcPr>
          <w:p>
            <w:pPr>
              <w:pStyle w:val="178"/>
            </w:pPr>
            <w:r>
              <w:t>G</w:t>
            </w:r>
            <w:r>
              <w:rPr>
                <w:rFonts w:hint="eastAsia"/>
              </w:rPr>
              <w:t>B 5009.123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top w:val="single" w:color="auto" w:sz="8" w:space="0"/>
              <w:bottom w:val="single" w:color="auto" w:sz="8" w:space="0"/>
            </w:tcBorders>
            <w:shd w:val="clear" w:color="auto" w:fill="auto"/>
            <w:vAlign w:val="center"/>
          </w:tcPr>
          <w:p>
            <w:pPr>
              <w:pStyle w:val="178"/>
              <w:jc w:val="left"/>
            </w:pPr>
            <w:r>
              <w:rPr>
                <w:rFonts w:hAnsi="宋体"/>
                <w:szCs w:val="18"/>
              </w:rPr>
              <w:t>注：所有理化指标都以木薯干基或鲜薯脱水率转化计算。</w:t>
            </w:r>
          </w:p>
        </w:tc>
      </w:tr>
    </w:tbl>
    <w:p>
      <w:pPr>
        <w:pStyle w:val="105"/>
        <w:spacing w:before="120" w:after="120"/>
      </w:pPr>
      <w:r>
        <w:rPr>
          <w:rFonts w:hint="eastAsia"/>
        </w:rPr>
        <w:t>微生物限量</w:t>
      </w:r>
    </w:p>
    <w:p>
      <w:pPr>
        <w:pStyle w:val="56"/>
        <w:spacing w:line="400" w:lineRule="exact"/>
        <w:ind w:firstLine="420"/>
        <w:rPr>
          <w:rFonts w:hAnsi="宋体" w:cs="宋体"/>
        </w:rPr>
      </w:pPr>
      <w:r>
        <w:rPr>
          <w:rFonts w:hint="eastAsia" w:hAnsi="宋体" w:cs="宋体"/>
        </w:rPr>
        <w:t>食用木薯粉中微生物限量应符合</w:t>
      </w:r>
      <w:r>
        <w:rPr>
          <w:rFonts w:hAnsi="宋体" w:cs="宋体"/>
        </w:rPr>
        <w:t>NY/T</w:t>
      </w:r>
      <w:r>
        <w:rPr>
          <w:rFonts w:hint="eastAsia" w:hAnsi="宋体" w:cs="宋体"/>
        </w:rPr>
        <w:t xml:space="preserve"> </w:t>
      </w:r>
      <w:r>
        <w:rPr>
          <w:rFonts w:hAnsi="宋体" w:cs="宋体"/>
        </w:rPr>
        <w:t>1039的要求。</w:t>
      </w:r>
    </w:p>
    <w:p>
      <w:pPr>
        <w:pStyle w:val="104"/>
        <w:spacing w:before="240" w:after="240"/>
      </w:pPr>
      <w:r>
        <w:rPr>
          <w:rFonts w:hint="eastAsia"/>
        </w:rPr>
        <w:t>包装、运输、贮存、保质期</w:t>
      </w:r>
    </w:p>
    <w:p>
      <w:pPr>
        <w:pStyle w:val="105"/>
        <w:spacing w:before="120" w:after="120"/>
      </w:pPr>
      <w:r>
        <w:t>包装</w:t>
      </w:r>
    </w:p>
    <w:p>
      <w:pPr>
        <w:pStyle w:val="165"/>
        <w:spacing w:line="400" w:lineRule="exact"/>
      </w:pPr>
      <w:r>
        <w:rPr>
          <w:rFonts w:hint="eastAsia"/>
        </w:rPr>
        <w:t>包装材料或容器应符合GB/T 24905和GB/T 17109的规定，内包装物应符合GB 4806.7的规定，并不得重复使用。</w:t>
      </w:r>
    </w:p>
    <w:p>
      <w:pPr>
        <w:pStyle w:val="165"/>
        <w:spacing w:line="400" w:lineRule="exact"/>
      </w:pPr>
      <w:r>
        <w:rPr>
          <w:rFonts w:hint="eastAsia" w:cs="宋体"/>
        </w:rPr>
        <w:t>净含量应符合《定量包装商品计量监督管理办法》的规定，按J</w:t>
      </w:r>
      <w:r>
        <w:rPr>
          <w:rFonts w:cs="宋体"/>
        </w:rPr>
        <w:t>JF1070</w:t>
      </w:r>
      <w:r>
        <w:rPr>
          <w:rFonts w:hint="eastAsia" w:cs="宋体"/>
        </w:rPr>
        <w:t>规定的方法进行测定。</w:t>
      </w:r>
    </w:p>
    <w:p>
      <w:pPr>
        <w:pStyle w:val="105"/>
        <w:spacing w:before="120" w:after="120"/>
      </w:pPr>
      <w:r>
        <w:t>运输</w:t>
      </w:r>
    </w:p>
    <w:p>
      <w:pPr>
        <w:pStyle w:val="165"/>
        <w:spacing w:line="400" w:lineRule="exact"/>
      </w:pPr>
      <w:r>
        <w:rPr>
          <w:rFonts w:hint="eastAsia"/>
        </w:rPr>
        <w:t>运输工具应清洁卫生、无异味、无污染。</w:t>
      </w:r>
    </w:p>
    <w:p>
      <w:pPr>
        <w:pStyle w:val="165"/>
        <w:spacing w:line="400" w:lineRule="exact"/>
      </w:pPr>
      <w:r>
        <w:rPr>
          <w:rFonts w:hint="eastAsia"/>
        </w:rPr>
        <w:t>运输过程中应防挤压、防雨、防潮、防晒，装卸时应轻搬、轻放。</w:t>
      </w:r>
    </w:p>
    <w:p>
      <w:pPr>
        <w:pStyle w:val="165"/>
        <w:spacing w:line="400" w:lineRule="exact"/>
      </w:pPr>
      <w:r>
        <w:rPr>
          <w:rFonts w:hint="eastAsia"/>
        </w:rPr>
        <w:t>运输时不得与有毒、有异味、有腐蚀性、易污染的货物混装混运。</w:t>
      </w:r>
    </w:p>
    <w:p>
      <w:pPr>
        <w:pStyle w:val="105"/>
        <w:spacing w:before="120" w:after="120"/>
      </w:pPr>
      <w:r>
        <w:t>贮存</w:t>
      </w:r>
    </w:p>
    <w:p>
      <w:pPr>
        <w:pStyle w:val="165"/>
        <w:spacing w:line="400" w:lineRule="exact"/>
      </w:pPr>
      <w:r>
        <w:rPr>
          <w:rFonts w:hint="eastAsia"/>
        </w:rPr>
        <w:t>原料、半成品、成品应分开放置，应分别贮存在清洁、卫生、阴凉、干燥通风、无异味的库房内。</w:t>
      </w:r>
    </w:p>
    <w:p>
      <w:pPr>
        <w:pStyle w:val="165"/>
        <w:spacing w:line="400" w:lineRule="exact"/>
      </w:pPr>
      <w:r>
        <w:rPr>
          <w:rFonts w:hint="eastAsia"/>
        </w:rPr>
        <w:t>不应与有毒、有害、有异味、有腐蚀性的物品同处贮存。</w:t>
      </w:r>
    </w:p>
    <w:p>
      <w:pPr>
        <w:pStyle w:val="165"/>
        <w:spacing w:line="400" w:lineRule="exact"/>
      </w:pPr>
      <w:r>
        <w:rPr>
          <w:rFonts w:hint="eastAsia"/>
        </w:rPr>
        <w:t>贮存技术可参照GB/T 29890执行。</w:t>
      </w:r>
    </w:p>
    <w:p>
      <w:pPr>
        <w:pStyle w:val="165"/>
        <w:spacing w:line="400" w:lineRule="exact"/>
      </w:pPr>
      <w:r>
        <w:rPr>
          <w:rFonts w:hint="eastAsia"/>
        </w:rPr>
        <w:t>鲜薯的采收、进场和木薯粉贮存应有相应的信息记录，鲜薯信息记录在附录A表1和附录</w:t>
      </w:r>
      <w:r>
        <w:t>B</w:t>
      </w:r>
      <w:r>
        <w:rPr>
          <w:rFonts w:hint="eastAsia"/>
        </w:rPr>
        <w:t>表</w:t>
      </w:r>
      <w:r>
        <w:t>1</w:t>
      </w:r>
      <w:r>
        <w:rPr>
          <w:rFonts w:hint="eastAsia"/>
        </w:rPr>
        <w:t>中，贮存记录至少保存2年。</w:t>
      </w:r>
    </w:p>
    <w:p>
      <w:pPr>
        <w:pStyle w:val="105"/>
        <w:spacing w:before="120" w:after="120"/>
      </w:pPr>
      <w:r>
        <w:t>保质期</w:t>
      </w:r>
    </w:p>
    <w:p>
      <w:pPr>
        <w:pStyle w:val="56"/>
        <w:spacing w:line="400" w:lineRule="exact"/>
        <w:ind w:firstLine="420"/>
      </w:pPr>
      <w:r>
        <w:rPr>
          <w:rFonts w:hint="eastAsia"/>
        </w:rPr>
        <w:t>常温下，食用木薯粉的保质期在6～12个月。</w:t>
      </w:r>
    </w:p>
    <w:p>
      <w:pPr>
        <w:widowControl/>
        <w:adjustRightInd/>
        <w:spacing w:line="240" w:lineRule="auto"/>
        <w:jc w:val="left"/>
      </w:pPr>
      <w:r>
        <w:br w:type="page"/>
      </w:r>
    </w:p>
    <w:p>
      <w:pPr>
        <w:widowControl/>
        <w:adjustRightInd/>
        <w:spacing w:line="240" w:lineRule="auto"/>
        <w:jc w:val="left"/>
      </w:pPr>
    </w:p>
    <w:bookmarkEnd w:id="22"/>
    <w:p>
      <w:pPr>
        <w:pStyle w:val="76"/>
        <w:spacing w:after="120"/>
      </w:pPr>
      <w:bookmarkStart w:id="44" w:name="BookMark5"/>
      <w:r>
        <w:br w:type="textWrapping"/>
      </w:r>
      <w:r>
        <w:rPr>
          <w:rFonts w:hint="eastAsia"/>
        </w:rPr>
        <w:t>（资料性）</w:t>
      </w:r>
      <w:r>
        <w:br w:type="textWrapping"/>
      </w:r>
      <w:r>
        <w:rPr>
          <w:rFonts w:hint="eastAsia"/>
        </w:rPr>
        <w:t>食用木薯鲜薯进出库信息记录表</w:t>
      </w:r>
    </w:p>
    <w:p>
      <w:pPr>
        <w:adjustRightInd/>
        <w:spacing w:line="276" w:lineRule="auto"/>
        <w:rPr>
          <w:rFonts w:ascii="宋体" w:hAnsi="Times New Roman"/>
          <w:kern w:val="21"/>
          <w:szCs w:val="20"/>
        </w:rPr>
      </w:pPr>
      <w:r>
        <w:rPr>
          <w:rFonts w:hint="eastAsia" w:ascii="宋体" w:hAnsi="Times New Roman"/>
          <w:kern w:val="21"/>
          <w:szCs w:val="20"/>
        </w:rPr>
        <w:t xml:space="preserve"> </w:t>
      </w:r>
      <w:r>
        <w:rPr>
          <w:rFonts w:ascii="宋体" w:hAnsi="Times New Roman"/>
          <w:kern w:val="21"/>
          <w:szCs w:val="20"/>
        </w:rPr>
        <w:t xml:space="preserve">   </w:t>
      </w:r>
      <w:r>
        <w:rPr>
          <w:rFonts w:hint="eastAsia" w:ascii="宋体" w:hAnsi="Times New Roman"/>
          <w:kern w:val="21"/>
          <w:szCs w:val="20"/>
        </w:rPr>
        <w:t>食用木薯鲜薯进出库信息记录表见</w:t>
      </w:r>
      <w:r>
        <w:rPr>
          <w:rFonts w:ascii="宋体" w:hAnsi="Times New Roman"/>
          <w:kern w:val="21"/>
          <w:szCs w:val="20"/>
        </w:rPr>
        <w:t>A</w:t>
      </w:r>
      <w:r>
        <w:rPr>
          <w:rFonts w:hint="eastAsia" w:ascii="宋体" w:hAnsi="Times New Roman"/>
          <w:kern w:val="21"/>
          <w:szCs w:val="20"/>
        </w:rPr>
        <w:t>.1。</w:t>
      </w:r>
    </w:p>
    <w:p>
      <w:pPr>
        <w:pStyle w:val="77"/>
        <w:spacing w:before="120" w:after="120"/>
      </w:pPr>
      <w:r>
        <w:rPr>
          <w:rFonts w:hint="eastAsia"/>
        </w:rPr>
        <w:t>食用鲜木薯进出库</w:t>
      </w:r>
      <w:r>
        <w:t>信息记录表</w:t>
      </w:r>
    </w:p>
    <w:p>
      <w:pPr>
        <w:pStyle w:val="56"/>
        <w:ind w:firstLine="199" w:firstLineChars="95"/>
      </w:pPr>
      <w:r>
        <w:rPr>
          <w:rFonts w:hint="eastAsia"/>
        </w:rPr>
        <w:t>单 位 名 称：                                                        第  页  共  页</w:t>
      </w:r>
    </w:p>
    <w:tbl>
      <w:tblPr>
        <w:tblStyle w:val="27"/>
        <w:tblW w:w="9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44"/>
        <w:gridCol w:w="1843"/>
        <w:gridCol w:w="1077"/>
        <w:gridCol w:w="1049"/>
        <w:gridCol w:w="1985"/>
        <w:gridCol w:w="1276"/>
        <w:gridCol w:w="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tblHeader/>
          <w:jc w:val="center"/>
        </w:trPr>
        <w:tc>
          <w:tcPr>
            <w:tcW w:w="1044" w:type="dxa"/>
            <w:tcBorders>
              <w:top w:val="single" w:color="auto" w:sz="8" w:space="0"/>
              <w:bottom w:val="single" w:color="auto" w:sz="8" w:space="0"/>
            </w:tcBorders>
            <w:shd w:val="clear" w:color="auto" w:fill="auto"/>
            <w:vAlign w:val="center"/>
          </w:tcPr>
          <w:p>
            <w:pPr>
              <w:pStyle w:val="178"/>
            </w:pPr>
            <w:r>
              <w:rPr>
                <w:rFonts w:hint="eastAsia"/>
              </w:rPr>
              <w:t>品种名称</w:t>
            </w:r>
          </w:p>
        </w:tc>
        <w:tc>
          <w:tcPr>
            <w:tcW w:w="1843" w:type="dxa"/>
            <w:tcBorders>
              <w:top w:val="single" w:color="auto" w:sz="8" w:space="0"/>
              <w:bottom w:val="single" w:color="auto" w:sz="8" w:space="0"/>
            </w:tcBorders>
            <w:shd w:val="clear" w:color="auto" w:fill="auto"/>
            <w:vAlign w:val="center"/>
          </w:tcPr>
          <w:p>
            <w:pPr>
              <w:pStyle w:val="178"/>
            </w:pPr>
            <w:r>
              <w:t>来</w:t>
            </w:r>
            <w:r>
              <w:rPr>
                <w:rFonts w:hint="eastAsia"/>
              </w:rPr>
              <w:t xml:space="preserve"> </w:t>
            </w:r>
            <w:r>
              <w:t>源</w:t>
            </w:r>
          </w:p>
        </w:tc>
        <w:tc>
          <w:tcPr>
            <w:tcW w:w="1077" w:type="dxa"/>
            <w:tcBorders>
              <w:top w:val="single" w:color="auto" w:sz="8" w:space="0"/>
              <w:bottom w:val="single" w:color="auto" w:sz="8" w:space="0"/>
            </w:tcBorders>
            <w:shd w:val="clear" w:color="auto" w:fill="auto"/>
            <w:vAlign w:val="center"/>
          </w:tcPr>
          <w:p>
            <w:pPr>
              <w:pStyle w:val="178"/>
            </w:pPr>
            <w:r>
              <w:t>进场</w:t>
            </w:r>
            <w:r>
              <w:rPr>
                <w:rFonts w:hint="eastAsia"/>
              </w:rPr>
              <w:t>日期</w:t>
            </w:r>
          </w:p>
        </w:tc>
        <w:tc>
          <w:tcPr>
            <w:tcW w:w="1049" w:type="dxa"/>
            <w:tcBorders>
              <w:top w:val="single" w:color="auto" w:sz="8" w:space="0"/>
              <w:bottom w:val="single" w:color="auto" w:sz="8" w:space="0"/>
            </w:tcBorders>
            <w:shd w:val="clear" w:color="auto" w:fill="auto"/>
            <w:vAlign w:val="center"/>
          </w:tcPr>
          <w:p>
            <w:pPr>
              <w:pStyle w:val="178"/>
            </w:pPr>
            <w:r>
              <w:rPr>
                <w:rFonts w:hint="eastAsia"/>
              </w:rPr>
              <w:t>数量（kg）</w:t>
            </w:r>
          </w:p>
        </w:tc>
        <w:tc>
          <w:tcPr>
            <w:tcW w:w="1985" w:type="dxa"/>
            <w:tcBorders>
              <w:top w:val="single" w:color="auto" w:sz="8" w:space="0"/>
              <w:bottom w:val="single" w:color="auto" w:sz="8" w:space="0"/>
            </w:tcBorders>
            <w:shd w:val="clear" w:color="auto" w:fill="auto"/>
            <w:vAlign w:val="center"/>
          </w:tcPr>
          <w:p>
            <w:pPr>
              <w:pStyle w:val="178"/>
            </w:pPr>
            <w:r>
              <w:rPr>
                <w:rFonts w:hint="eastAsia"/>
              </w:rPr>
              <w:t>利用方式</w:t>
            </w:r>
          </w:p>
        </w:tc>
        <w:tc>
          <w:tcPr>
            <w:tcW w:w="1276" w:type="dxa"/>
            <w:tcBorders>
              <w:top w:val="single" w:color="auto" w:sz="8" w:space="0"/>
              <w:bottom w:val="single" w:color="auto" w:sz="8" w:space="0"/>
            </w:tcBorders>
            <w:vAlign w:val="center"/>
          </w:tcPr>
          <w:p>
            <w:pPr>
              <w:pStyle w:val="178"/>
            </w:pPr>
            <w:r>
              <w:rPr>
                <w:rFonts w:hint="eastAsia"/>
              </w:rPr>
              <w:t>加工</w:t>
            </w:r>
            <w:r>
              <w:t>日期</w:t>
            </w:r>
          </w:p>
        </w:tc>
        <w:tc>
          <w:tcPr>
            <w:tcW w:w="899" w:type="dxa"/>
            <w:tcBorders>
              <w:top w:val="single" w:color="auto" w:sz="8" w:space="0"/>
              <w:bottom w:val="single" w:color="auto" w:sz="8" w:space="0"/>
            </w:tcBorders>
            <w:vAlign w:val="center"/>
          </w:tcPr>
          <w:p>
            <w:pPr>
              <w:pStyle w:val="178"/>
            </w:pPr>
            <w:r>
              <w:t>记录人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tcBorders>
              <w:top w:val="single" w:color="auto" w:sz="8" w:space="0"/>
            </w:tcBorders>
            <w:shd w:val="clear" w:color="auto" w:fill="auto"/>
            <w:vAlign w:val="center"/>
          </w:tcPr>
          <w:p>
            <w:pPr>
              <w:pStyle w:val="178"/>
            </w:pPr>
          </w:p>
        </w:tc>
        <w:tc>
          <w:tcPr>
            <w:tcW w:w="1843" w:type="dxa"/>
            <w:tcBorders>
              <w:top w:val="single" w:color="auto" w:sz="8" w:space="0"/>
            </w:tcBorders>
            <w:shd w:val="clear" w:color="auto" w:fill="auto"/>
            <w:vAlign w:val="center"/>
          </w:tcPr>
          <w:p>
            <w:pPr>
              <w:pStyle w:val="178"/>
            </w:pPr>
          </w:p>
        </w:tc>
        <w:tc>
          <w:tcPr>
            <w:tcW w:w="1077" w:type="dxa"/>
            <w:tcBorders>
              <w:top w:val="single" w:color="auto" w:sz="8" w:space="0"/>
            </w:tcBorders>
            <w:shd w:val="clear" w:color="auto" w:fill="auto"/>
            <w:vAlign w:val="center"/>
          </w:tcPr>
          <w:p>
            <w:pPr>
              <w:pStyle w:val="178"/>
            </w:pPr>
          </w:p>
        </w:tc>
        <w:tc>
          <w:tcPr>
            <w:tcW w:w="1049" w:type="dxa"/>
            <w:tcBorders>
              <w:top w:val="single" w:color="auto" w:sz="8" w:space="0"/>
            </w:tcBorders>
            <w:shd w:val="clear" w:color="auto" w:fill="auto"/>
            <w:vAlign w:val="center"/>
          </w:tcPr>
          <w:p>
            <w:pPr>
              <w:pStyle w:val="178"/>
            </w:pPr>
          </w:p>
        </w:tc>
        <w:tc>
          <w:tcPr>
            <w:tcW w:w="1985" w:type="dxa"/>
            <w:tcBorders>
              <w:top w:val="single" w:color="auto" w:sz="8" w:space="0"/>
            </w:tcBorders>
            <w:shd w:val="clear" w:color="auto" w:fill="auto"/>
            <w:vAlign w:val="center"/>
          </w:tcPr>
          <w:p>
            <w:pPr>
              <w:pStyle w:val="178"/>
            </w:pPr>
          </w:p>
        </w:tc>
        <w:tc>
          <w:tcPr>
            <w:tcW w:w="1276" w:type="dxa"/>
            <w:tcBorders>
              <w:top w:val="single" w:color="auto" w:sz="8" w:space="0"/>
            </w:tcBorders>
          </w:tcPr>
          <w:p>
            <w:pPr>
              <w:pStyle w:val="178"/>
            </w:pPr>
          </w:p>
        </w:tc>
        <w:tc>
          <w:tcPr>
            <w:tcW w:w="899" w:type="dxa"/>
            <w:tcBorders>
              <w:top w:val="single" w:color="auto" w:sz="8" w:space="0"/>
            </w:tcBorders>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044" w:type="dxa"/>
            <w:shd w:val="clear" w:color="auto" w:fill="auto"/>
            <w:vAlign w:val="center"/>
          </w:tcPr>
          <w:p>
            <w:pPr>
              <w:pStyle w:val="178"/>
            </w:pPr>
          </w:p>
        </w:tc>
        <w:tc>
          <w:tcPr>
            <w:tcW w:w="1843" w:type="dxa"/>
            <w:shd w:val="clear" w:color="auto" w:fill="auto"/>
            <w:vAlign w:val="center"/>
          </w:tcPr>
          <w:p>
            <w:pPr>
              <w:pStyle w:val="178"/>
            </w:pPr>
          </w:p>
        </w:tc>
        <w:tc>
          <w:tcPr>
            <w:tcW w:w="1077" w:type="dxa"/>
            <w:shd w:val="clear" w:color="auto" w:fill="auto"/>
            <w:vAlign w:val="center"/>
          </w:tcPr>
          <w:p>
            <w:pPr>
              <w:pStyle w:val="178"/>
            </w:pPr>
          </w:p>
        </w:tc>
        <w:tc>
          <w:tcPr>
            <w:tcW w:w="1049" w:type="dxa"/>
            <w:shd w:val="clear" w:color="auto" w:fill="auto"/>
            <w:vAlign w:val="center"/>
          </w:tcPr>
          <w:p>
            <w:pPr>
              <w:pStyle w:val="178"/>
            </w:pPr>
          </w:p>
        </w:tc>
        <w:tc>
          <w:tcPr>
            <w:tcW w:w="1985" w:type="dxa"/>
            <w:shd w:val="clear" w:color="auto" w:fill="auto"/>
            <w:vAlign w:val="center"/>
          </w:tcPr>
          <w:p>
            <w:pPr>
              <w:pStyle w:val="178"/>
            </w:pPr>
          </w:p>
        </w:tc>
        <w:tc>
          <w:tcPr>
            <w:tcW w:w="1276" w:type="dxa"/>
          </w:tcPr>
          <w:p>
            <w:pPr>
              <w:pStyle w:val="178"/>
            </w:pPr>
          </w:p>
        </w:tc>
        <w:tc>
          <w:tcPr>
            <w:tcW w:w="899" w:type="dxa"/>
          </w:tcPr>
          <w:p>
            <w:pPr>
              <w:pStyle w:val="178"/>
            </w:pPr>
          </w:p>
        </w:tc>
      </w:tr>
    </w:tbl>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r>
        <w:rPr>
          <w:rFonts w:hint="eastAsia"/>
        </w:rPr>
        <w:t>（资料性）</w:t>
      </w:r>
      <w:r>
        <w:br w:type="textWrapping"/>
      </w:r>
      <w:r>
        <w:rPr>
          <w:rFonts w:hint="eastAsia"/>
        </w:rPr>
        <w:t>食用木薯粉加工和贮藏信息记录表</w:t>
      </w:r>
    </w:p>
    <w:p>
      <w:pPr>
        <w:adjustRightInd/>
        <w:spacing w:line="276" w:lineRule="auto"/>
        <w:ind w:firstLine="420" w:firstLineChars="200"/>
        <w:rPr>
          <w:rFonts w:ascii="宋体" w:hAnsi="Times New Roman"/>
          <w:kern w:val="21"/>
          <w:szCs w:val="20"/>
        </w:rPr>
      </w:pPr>
      <w:bookmarkStart w:id="46" w:name="_GoBack"/>
      <w:bookmarkEnd w:id="46"/>
      <w:r>
        <w:rPr>
          <w:rFonts w:hint="eastAsia" w:ascii="宋体" w:hAnsi="Times New Roman"/>
          <w:kern w:val="21"/>
          <w:szCs w:val="20"/>
        </w:rPr>
        <w:t>食用木薯粉加工和贮藏信息记录表见</w:t>
      </w:r>
      <w:r>
        <w:rPr>
          <w:rFonts w:ascii="宋体" w:hAnsi="Times New Roman"/>
          <w:kern w:val="21"/>
          <w:szCs w:val="20"/>
        </w:rPr>
        <w:t>B</w:t>
      </w:r>
      <w:r>
        <w:rPr>
          <w:rFonts w:hint="eastAsia" w:ascii="宋体" w:hAnsi="Times New Roman"/>
          <w:kern w:val="21"/>
          <w:szCs w:val="20"/>
        </w:rPr>
        <w:t>.1。</w:t>
      </w:r>
    </w:p>
    <w:p>
      <w:pPr>
        <w:pStyle w:val="77"/>
        <w:spacing w:before="120" w:after="120"/>
      </w:pPr>
      <w:r>
        <w:rPr>
          <w:rFonts w:hint="eastAsia"/>
        </w:rPr>
        <w:t>食用木薯粉加工和贮藏</w:t>
      </w:r>
      <w:r>
        <w:t>信息记录表</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单 位 名 称：                                                      第  页  共  页</w:t>
      </w:r>
    </w:p>
    <w:tbl>
      <w:tblPr>
        <w:tblStyle w:val="27"/>
        <w:tblW w:w="9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22"/>
        <w:gridCol w:w="1321"/>
        <w:gridCol w:w="1321"/>
        <w:gridCol w:w="1221"/>
        <w:gridCol w:w="1421"/>
        <w:gridCol w:w="1297"/>
        <w:gridCol w:w="12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tblHeader/>
          <w:jc w:val="center"/>
        </w:trPr>
        <w:tc>
          <w:tcPr>
            <w:tcW w:w="132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品</w:t>
            </w:r>
            <w:r>
              <w:rPr>
                <w:rFonts w:hint="eastAsia" w:ascii="宋体" w:hAnsi="Times New Roman"/>
                <w:kern w:val="0"/>
                <w:sz w:val="18"/>
                <w:szCs w:val="20"/>
              </w:rPr>
              <w:t xml:space="preserve"> </w:t>
            </w:r>
            <w:r>
              <w:rPr>
                <w:rFonts w:ascii="宋体" w:hAnsi="Times New Roman"/>
                <w:kern w:val="0"/>
                <w:sz w:val="18"/>
                <w:szCs w:val="20"/>
              </w:rPr>
              <w:t>种</w:t>
            </w:r>
            <w:r>
              <w:rPr>
                <w:rFonts w:hint="eastAsia" w:ascii="宋体" w:hAnsi="Times New Roman"/>
                <w:kern w:val="0"/>
                <w:sz w:val="18"/>
                <w:szCs w:val="20"/>
              </w:rPr>
              <w:t xml:space="preserve"> 名 称</w:t>
            </w:r>
          </w:p>
        </w:tc>
        <w:tc>
          <w:tcPr>
            <w:tcW w:w="1321"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加工方式</w:t>
            </w:r>
          </w:p>
        </w:tc>
        <w:tc>
          <w:tcPr>
            <w:tcW w:w="1321"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加工日期</w:t>
            </w:r>
          </w:p>
        </w:tc>
        <w:tc>
          <w:tcPr>
            <w:tcW w:w="1221"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数量（</w:t>
            </w:r>
            <w:r>
              <w:rPr>
                <w:rFonts w:hint="eastAsia" w:ascii="宋体" w:hAnsi="Times New Roman"/>
                <w:kern w:val="0"/>
                <w:sz w:val="18"/>
                <w:szCs w:val="20"/>
              </w:rPr>
              <w:t>kg</w:t>
            </w:r>
            <w:r>
              <w:rPr>
                <w:rFonts w:ascii="宋体" w:hAnsi="Times New Roman"/>
                <w:kern w:val="0"/>
                <w:sz w:val="18"/>
                <w:szCs w:val="20"/>
              </w:rPr>
              <w:t>）</w:t>
            </w:r>
          </w:p>
        </w:tc>
        <w:tc>
          <w:tcPr>
            <w:tcW w:w="1421"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贮藏环境（℃、</w:t>
            </w:r>
            <w:r>
              <w:rPr>
                <w:rFonts w:ascii="宋体" w:hAnsi="Times New Roman"/>
                <w:kern w:val="0"/>
                <w:sz w:val="18"/>
                <w:szCs w:val="20"/>
              </w:rPr>
              <w:t>%</w:t>
            </w:r>
            <w:r>
              <w:rPr>
                <w:rFonts w:hint="eastAsia" w:ascii="宋体" w:hAnsi="Times New Roman"/>
                <w:kern w:val="0"/>
                <w:sz w:val="18"/>
                <w:szCs w:val="20"/>
              </w:rPr>
              <w:t>）</w:t>
            </w:r>
          </w:p>
        </w:tc>
        <w:tc>
          <w:tcPr>
            <w:tcW w:w="1297"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贮藏</w:t>
            </w:r>
            <w:r>
              <w:rPr>
                <w:rFonts w:ascii="宋体" w:hAnsi="Times New Roman"/>
                <w:kern w:val="0"/>
                <w:sz w:val="18"/>
                <w:szCs w:val="20"/>
              </w:rPr>
              <w:t>日期</w:t>
            </w:r>
          </w:p>
        </w:tc>
        <w:tc>
          <w:tcPr>
            <w:tcW w:w="1270" w:type="dxa"/>
            <w:tcBorders>
              <w:top w:val="single" w:color="auto" w:sz="8" w:space="0"/>
              <w:bottom w:val="single" w:color="auto" w:sz="8" w:space="0"/>
            </w:tcBorders>
            <w:vAlign w:val="center"/>
          </w:tcPr>
          <w:p>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记录人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Borders>
              <w:top w:val="single" w:color="auto" w:sz="8" w:space="0"/>
            </w:tcBorders>
          </w:tcPr>
          <w:p>
            <w:pPr>
              <w:widowControl/>
              <w:autoSpaceDE w:val="0"/>
              <w:autoSpaceDN w:val="0"/>
              <w:adjustRightInd/>
              <w:spacing w:line="240" w:lineRule="auto"/>
              <w:jc w:val="center"/>
              <w:rPr>
                <w:rFonts w:ascii="宋体" w:hAnsi="Times New Roman"/>
                <w:kern w:val="0"/>
                <w:sz w:val="18"/>
                <w:szCs w:val="20"/>
              </w:rPr>
            </w:pPr>
          </w:p>
        </w:tc>
        <w:tc>
          <w:tcPr>
            <w:tcW w:w="1270" w:type="dxa"/>
            <w:tcBorders>
              <w:top w:val="single" w:color="auto" w:sz="8" w:space="0"/>
            </w:tcBorders>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322"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3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421" w:type="dxa"/>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1297" w:type="dxa"/>
          </w:tcPr>
          <w:p>
            <w:pPr>
              <w:widowControl/>
              <w:autoSpaceDE w:val="0"/>
              <w:autoSpaceDN w:val="0"/>
              <w:adjustRightInd/>
              <w:spacing w:line="240" w:lineRule="auto"/>
              <w:jc w:val="center"/>
              <w:rPr>
                <w:rFonts w:ascii="宋体" w:hAnsi="Times New Roman"/>
                <w:kern w:val="0"/>
                <w:sz w:val="18"/>
                <w:szCs w:val="20"/>
              </w:rPr>
            </w:pPr>
          </w:p>
        </w:tc>
        <w:tc>
          <w:tcPr>
            <w:tcW w:w="1270" w:type="dxa"/>
          </w:tcPr>
          <w:p>
            <w:pPr>
              <w:widowControl/>
              <w:autoSpaceDE w:val="0"/>
              <w:autoSpaceDN w:val="0"/>
              <w:adjustRightInd/>
              <w:spacing w:line="240" w:lineRule="auto"/>
              <w:jc w:val="center"/>
              <w:rPr>
                <w:rFonts w:ascii="宋体" w:hAnsi="Times New Roman"/>
                <w:kern w:val="0"/>
                <w:sz w:val="18"/>
                <w:szCs w:val="20"/>
              </w:rPr>
            </w:pPr>
          </w:p>
        </w:tc>
      </w:tr>
    </w:tbl>
    <w:p>
      <w:pPr>
        <w:pStyle w:val="56"/>
        <w:ind w:firstLine="420"/>
      </w:pPr>
    </w:p>
    <w:bookmarkEnd w:id="44"/>
    <w:p>
      <w:pPr>
        <w:autoSpaceDE w:val="0"/>
        <w:autoSpaceDN w:val="0"/>
        <w:spacing w:line="240" w:lineRule="auto"/>
        <w:jc w:val="center"/>
      </w:pPr>
      <w:bookmarkStart w:id="45"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DIwN2QzZWEyYWIxODZiZjA0MjIwNjBlZjFkMjk4NWYifQ=="/>
    <w:docVar w:name="NE.Ref{51466C24-8095-4A02-BA20-A1D6B6544611}" w:val=" ADDIN NE.Ref.{51466C24-8095-4A02-BA20-A1D6B6544611}&lt;Citation&gt;&lt;Group&gt;&lt;References&gt;&lt;Item&gt;&lt;ID&gt;5120&lt;/ID&gt;&lt;UID&gt;{FC0576CF-7268-4E45-AB2A-4A49AF509521}&lt;/UID&gt;&lt;Title&gt;木薯块根的营养价值及消化性能&lt;/Title&gt;&lt;Template&gt;Journal Article&lt;/Template&gt;&lt;Star&gt;0&lt;/Star&gt;&lt;Tag&gt;0&lt;/Tag&gt;&lt;Author&gt;丁慧敏; 谢彩锋; 古碧; 丘春平&lt;/Author&gt;&lt;Year&gt;2015&lt;/Year&gt;&lt;Details&gt;&lt;_author_adr&gt;广西大学轻工与食品工程学院;广西大学淀粉化工研究所;&lt;/_author_adr&gt;&lt;_db_provider&gt;CNKI&lt;/_db_provider&gt;&lt;_isbn&gt;1005-6521&lt;/_isbn&gt;&lt;_issue&gt;20&lt;/_issue&gt;&lt;_journal&gt;食品研究与开发&lt;/_journal&gt;&lt;_keywords&gt;木薯块根;营养价值;消化&lt;/_keywords&gt;&lt;_pages&gt;193-196&lt;/_pages&gt;&lt;_volume&gt;36&lt;/_volume&gt;&lt;_created&gt;65121633&lt;/_created&gt;&lt;_modified&gt;65121633&lt;/_modified&gt;&lt;_collection_scope&gt;PKU&lt;/_collection_scope&gt;&lt;_url&gt;https://bar.cnki.net/bar/download/order?id=jBGETXBNdPImvx70aLAuJPYxPoFw%2Bp%2Bi0fIiSrcN6lXFA71WIrvjg1js6zRWDKVl73JGSzfHcYNjmLrsTTysd6ZkLkctbazBAH%2Br8YgpNUAr4qya3J1MXVAeiRx5OlqsTexkrKzFwIrft71n9EQs%2FUN1tZaOZ9Yf2CwqWvTYvKuGHjw26TQ0hXDvTs5DiLWgkrETngyBnCTl55KHYlBwNKVl5DUkM%2FnvjGZV%2BTcjm7Y%3D _x000d__x000a_&lt;/_url&gt;&lt;_translated_author&gt;Ding, Hui min;Xie, Cai feng;Gu, Bi;Qiu, Chun ping&lt;/_translated_author&gt;&lt;/Details&gt;&lt;Extra&gt;&lt;DBUID&gt;{E7A58C27-5B16-4741-B001-F84F9E116C74}&lt;/DBUID&gt;&lt;/Extra&gt;&lt;/Item&gt;&lt;/References&gt;&lt;/Group&gt;&lt;/Citation&gt;_x000a_"/>
    <w:docVar w:name="NE.Ref{59108616-904B-40F6-BC6D-E486C60E2921}" w:val=" ADDIN NE.Ref.{59108616-904B-40F6-BC6D-E486C60E2921}&lt;Citation&gt;&lt;Group&gt;&lt;References&gt;&lt;Item&gt;&lt;ID&gt;3917&lt;/ID&gt;&lt;UID&gt;{01A92CF1-4276-45AA-807D-CF5A3825A955}&lt;/UID&gt;&lt;Title&gt;细度对食用木薯粉理化品质和消化特性的影响&lt;/Title&gt;&lt;Template&gt;Journal Article&lt;/Template&gt;&lt;Star&gt;0&lt;/Star&gt;&lt;Tag&gt;0&lt;/Tag&gt;&lt;Author&gt;张振文; 林立铭; 徐缓; 王琴飞; 李开绵&lt;/Author&gt;&lt;Year&gt;2020&lt;/Year&gt;&lt;Details&gt;&lt;_accessed&gt;65120719&lt;/_accessed&gt;&lt;_author_adr&gt;中国热带农业科学院热带作物品种资源研究所;国家薯类加工技术研发分中心;&lt;/_author_adr&gt;&lt;_collection_scope&gt;CSCD;PKU&lt;/_collection_scope&gt;&lt;_created&gt;63506635&lt;/_created&gt;&lt;_db_provider&gt;CNKI&lt;/_db_provider&gt;&lt;_isbn&gt;1003-0174&lt;/_isbn&gt;&lt;_issue&gt;08&lt;/_issue&gt;&lt;_journal&gt;中国粮油学报&lt;/_journal&gt;&lt;_keywords&gt;食用木薯粉;加工特性;热分解;体外消化&lt;/_keywords&gt;&lt;_modified&gt;65120716&lt;/_modified&gt;&lt;_pages&gt;56-61&lt;/_pages&gt;&lt;_tertiary_title&gt;Journal of the Chinses cereals and Oils A ssociation&lt;/_tertiary_title&gt;&lt;_translated_author&gt;Zhang, Zhen Wen; Lin, Li Ming; Xu, Huan; Wang, Qin Fei; Li, Kai Mian&lt;/_translated_author&gt;&lt;_translated_title&gt;Effects of Physic-Chemical Traits and Digestion Characteristics on Sweet Cassava Flour with Different Size&lt;/_translated_title&gt;&lt;_url&gt;https://oss.wanfangdata.com.cn/NewFulltext?type=perio&amp;amp;resourceId=zglyxb202008010 _x000d__x000a_&lt;/_url&gt;&lt;_volume&gt;35&lt;/_volume&gt;&lt;/Details&gt;&lt;Extra&gt;&lt;DBUID&gt;{E7A58C27-5B16-4741-B001-F84F9E116C74}&lt;/DBUID&gt;&lt;/Extra&gt;&lt;/Item&gt;&lt;/References&gt;&lt;/Group&gt;&lt;Group&gt;&lt;References&gt;&lt;Item&gt;&lt;ID&gt;5119&lt;/ID&gt;&lt;UID&gt;{209B0A96-567C-4045-8EAF-AAE63DA6AFA5}&lt;/UID&gt;&lt;Title&gt;食用木薯粉贮藏品质分析与评价&lt;/Title&gt;&lt;Template&gt;Journal Article&lt;/Template&gt;&lt;Star&gt;0&lt;/Star&gt;&lt;Tag&gt;0&lt;/Tag&gt;&lt;Author&gt;林立铭; 徐缓; 吴秋妃; 王琴飞; 余厚美; 张振文&lt;/Author&gt;&lt;Year&gt;2020&lt;/Year&gt;&lt;Details&gt;&lt;_accessed&gt;65120720&lt;/_accessed&gt;&lt;_author_adr&gt;中国热带农业科学院热带作物品种资源研究所; 中国热带农业科学院科技信息研究所&lt;/_author_adr&gt;&lt;_author_aff&gt;中国热带农业科学院热带作物品种资源研究所; 中国热带农业科学院科技信息研究所&lt;/_author_aff&gt;&lt;_collection_scope&gt;PKU&lt;/_collection_scope&gt;&lt;_created&gt;65120720&lt;/_created&gt;&lt;_db_provider&gt;北京万方数据股份有限公司&lt;/_db_provider&gt;&lt;_db_updated&gt;Wanfangdata&lt;/_db_updated&gt;&lt;_isbn&gt;1005-9989&lt;/_isbn&gt;&lt;_issue&gt;11&lt;/_issue&gt;&lt;_journal&gt;食品科技&lt;/_journal&gt;&lt;_keywords&gt;食用木薯粉; 贮藏; 主成分分析; 品质评价&lt;/_keywords&gt;&lt;_language&gt;chi&lt;/_language&gt;&lt;_modified&gt;65120720&lt;/_modified&gt;&lt;_pages&gt;187-191&lt;/_pages&gt;&lt;_tertiary_title&gt;Food Science and Technology&lt;/_tertiary_title&gt;&lt;_translated_author&gt;Liming, LIN; Huan, X U; Qiufei, W U; Qinfei, WANG; Houmei, Y U; Zhenwen, ZHANG&lt;/_translated_author&gt;&lt;_translated_title&gt;Analysis and Evaluations of Sweet Cassava Flour During Storage&lt;/_translated_title&gt;&lt;_url&gt;https://d.wanfangdata.com.cn/periodical/ChlQZXJpb2RpY2FsQ0hJTmV3UzIwMjMwODMxEg1zcGtqMjAyMDExMDMwGggzdTFkMWRqOQ%3D%3D&lt;/_url&gt;&lt;_volume&gt;45&lt;/_volume&gt;&lt;/Details&gt;&lt;Extra&gt;&lt;DBUID&gt;{E7A58C27-5B16-4741-B001-F84F9E116C74}&lt;/DBUID&gt;&lt;/Extra&gt;&lt;/Item&gt;&lt;/References&gt;&lt;/Group&gt;&lt;/Citation&gt;_x000a_"/>
    <w:docVar w:name="NE.Ref{7B4DBCF9-DA85-4291-A094-EAFE9DE16026}" w:val=" ADDIN NE.Ref.{7B4DBCF9-DA85-4291-A094-EAFE9DE16026}&lt;Citation&gt;&lt;Group&gt;&lt;References&gt;&lt;Item&gt;&lt;ID&gt;5120&lt;/ID&gt;&lt;UID&gt;{FC0576CF-7268-4E45-AB2A-4A49AF509521}&lt;/UID&gt;&lt;Title&gt;木薯块根的营养价值及消化性能&lt;/Title&gt;&lt;Template&gt;Journal Article&lt;/Template&gt;&lt;Star&gt;0&lt;/Star&gt;&lt;Tag&gt;0&lt;/Tag&gt;&lt;Author&gt;丁慧敏; 谢彩锋; 古碧; 丘春平&lt;/Author&gt;&lt;Year&gt;2015&lt;/Year&gt;&lt;Details&gt;&lt;_author_adr&gt;广西大学轻工与食品工程学院;广西大学淀粉化工研究所;&lt;/_author_adr&gt;&lt;_db_provider&gt;CNKI&lt;/_db_provider&gt;&lt;_isbn&gt;1005-6521&lt;/_isbn&gt;&lt;_issue&gt;20&lt;/_issue&gt;&lt;_journal&gt;食品研究与开发&lt;/_journal&gt;&lt;_keywords&gt;木薯块根;营养价值;消化&lt;/_keywords&gt;&lt;_pages&gt;193-196&lt;/_pages&gt;&lt;_volume&gt;36&lt;/_volume&gt;&lt;_created&gt;65121633&lt;/_created&gt;&lt;_modified&gt;65121633&lt;/_modified&gt;&lt;_collection_scope&gt;PKU&lt;/_collection_scope&gt;&lt;_url&gt;https://bar.cnki.net/bar/download/order?id=jBGETXBNdPImvx70aLAuJPYxPoFw%2Bp%2Bi0fIiSrcN6lXFA71WIrvjg1js6zRWDKVl73JGSzfHcYNjmLrsTTysd6ZkLkctbazBAH%2Br8YgpNUAr4qya3J1MXVAeiRx5OlqsTexkrKzFwIrft71n9EQs%2FUN1tZaOZ9Yf2CwqWvTYvKuGHjw26TQ0hXDvTs5DiLWgkrETngyBnCTl55KHYlBwNKVl5DUkM%2FnvjGZV%2BTcjm7Y%3D _x000d__x000a_&lt;/_url&gt;&lt;_translated_author&gt;Ding, Hui min;Xie, Cai feng;Gu, Bi;Qiu, Chun ping&lt;/_translated_author&gt;&lt;/Details&gt;&lt;Extra&gt;&lt;DBUID&gt;{E7A58C27-5B16-4741-B001-F84F9E116C74}&lt;/DBUID&gt;&lt;/Extra&gt;&lt;/Item&gt;&lt;/References&gt;&lt;/Group&gt;&lt;/Citation&gt;_x000a_"/>
    <w:docVar w:name="ne_docsoft" w:val="MSWord"/>
    <w:docVar w:name="ne_docversion" w:val="NoteExpress 2.0"/>
    <w:docVar w:name="ne_insertmode" w:val="0"/>
    <w:docVar w:name="ne_stylename" w:val="植物学报"/>
  </w:docVars>
  <w:rsids>
    <w:rsidRoot w:val="000663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C1A"/>
    <w:rsid w:val="000331D3"/>
    <w:rsid w:val="000346A5"/>
    <w:rsid w:val="000359C3"/>
    <w:rsid w:val="00035A7D"/>
    <w:rsid w:val="00035CB2"/>
    <w:rsid w:val="000365ED"/>
    <w:rsid w:val="00037AF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3C8"/>
    <w:rsid w:val="00066680"/>
    <w:rsid w:val="000679B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AA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6DB"/>
    <w:rsid w:val="000D4B9C"/>
    <w:rsid w:val="000D4EB6"/>
    <w:rsid w:val="000D753B"/>
    <w:rsid w:val="000E4C9E"/>
    <w:rsid w:val="000E6FD7"/>
    <w:rsid w:val="000E7144"/>
    <w:rsid w:val="000F06E1"/>
    <w:rsid w:val="000F0E3C"/>
    <w:rsid w:val="000F19D5"/>
    <w:rsid w:val="000F4050"/>
    <w:rsid w:val="000F4AEA"/>
    <w:rsid w:val="000F67E9"/>
    <w:rsid w:val="000F79DB"/>
    <w:rsid w:val="00104926"/>
    <w:rsid w:val="00113B1E"/>
    <w:rsid w:val="0011711C"/>
    <w:rsid w:val="001248B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973"/>
    <w:rsid w:val="001642FA"/>
    <w:rsid w:val="001649EB"/>
    <w:rsid w:val="00164BAF"/>
    <w:rsid w:val="00164E0E"/>
    <w:rsid w:val="00164FA8"/>
    <w:rsid w:val="00165065"/>
    <w:rsid w:val="00165434"/>
    <w:rsid w:val="0016580B"/>
    <w:rsid w:val="00165F49"/>
    <w:rsid w:val="00166B88"/>
    <w:rsid w:val="0016770A"/>
    <w:rsid w:val="00167B5A"/>
    <w:rsid w:val="00170804"/>
    <w:rsid w:val="001708E9"/>
    <w:rsid w:val="0017340B"/>
    <w:rsid w:val="00173FB1"/>
    <w:rsid w:val="0017589C"/>
    <w:rsid w:val="00176DFD"/>
    <w:rsid w:val="001852C9"/>
    <w:rsid w:val="00187A0B"/>
    <w:rsid w:val="00190087"/>
    <w:rsid w:val="001913C4"/>
    <w:rsid w:val="00193455"/>
    <w:rsid w:val="0019348F"/>
    <w:rsid w:val="00193A07"/>
    <w:rsid w:val="00194C95"/>
    <w:rsid w:val="00195C34"/>
    <w:rsid w:val="00196EF5"/>
    <w:rsid w:val="001A1A53"/>
    <w:rsid w:val="001A234A"/>
    <w:rsid w:val="001A4CF3"/>
    <w:rsid w:val="001A6696"/>
    <w:rsid w:val="001B06E8"/>
    <w:rsid w:val="001B71D0"/>
    <w:rsid w:val="001B71EE"/>
    <w:rsid w:val="001C04A8"/>
    <w:rsid w:val="001C142C"/>
    <w:rsid w:val="001C2C03"/>
    <w:rsid w:val="001C42F7"/>
    <w:rsid w:val="001C49E5"/>
    <w:rsid w:val="001C680C"/>
    <w:rsid w:val="001C7574"/>
    <w:rsid w:val="001C7FEA"/>
    <w:rsid w:val="001D0499"/>
    <w:rsid w:val="001D0BBE"/>
    <w:rsid w:val="001D0ED4"/>
    <w:rsid w:val="001D212F"/>
    <w:rsid w:val="001D29D7"/>
    <w:rsid w:val="001D2DE7"/>
    <w:rsid w:val="001D3E7F"/>
    <w:rsid w:val="001D411C"/>
    <w:rsid w:val="001E1B6A"/>
    <w:rsid w:val="001E2484"/>
    <w:rsid w:val="001E3CC4"/>
    <w:rsid w:val="001E4882"/>
    <w:rsid w:val="001E73AB"/>
    <w:rsid w:val="001F092D"/>
    <w:rsid w:val="001F143A"/>
    <w:rsid w:val="001F1605"/>
    <w:rsid w:val="001F2508"/>
    <w:rsid w:val="001F4816"/>
    <w:rsid w:val="001F69B4"/>
    <w:rsid w:val="001F769B"/>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6D8"/>
    <w:rsid w:val="00233D64"/>
    <w:rsid w:val="0023482A"/>
    <w:rsid w:val="00234A2F"/>
    <w:rsid w:val="002359CB"/>
    <w:rsid w:val="00243540"/>
    <w:rsid w:val="0024408F"/>
    <w:rsid w:val="0024497B"/>
    <w:rsid w:val="0024515B"/>
    <w:rsid w:val="00245480"/>
    <w:rsid w:val="00246021"/>
    <w:rsid w:val="0024666E"/>
    <w:rsid w:val="00247F52"/>
    <w:rsid w:val="00247F69"/>
    <w:rsid w:val="00250B25"/>
    <w:rsid w:val="00250BBE"/>
    <w:rsid w:val="002515C2"/>
    <w:rsid w:val="0025194F"/>
    <w:rsid w:val="0026148A"/>
    <w:rsid w:val="00262696"/>
    <w:rsid w:val="00263D25"/>
    <w:rsid w:val="002643C3"/>
    <w:rsid w:val="00264A0C"/>
    <w:rsid w:val="00266EEB"/>
    <w:rsid w:val="00267EF4"/>
    <w:rsid w:val="00270CB8"/>
    <w:rsid w:val="00272B08"/>
    <w:rsid w:val="0027484E"/>
    <w:rsid w:val="00281BB8"/>
    <w:rsid w:val="00281E9E"/>
    <w:rsid w:val="00282405"/>
    <w:rsid w:val="00285170"/>
    <w:rsid w:val="00285361"/>
    <w:rsid w:val="00291748"/>
    <w:rsid w:val="00292D60"/>
    <w:rsid w:val="00293B30"/>
    <w:rsid w:val="00294D34"/>
    <w:rsid w:val="00294E3B"/>
    <w:rsid w:val="00296193"/>
    <w:rsid w:val="00296C66"/>
    <w:rsid w:val="00296EBE"/>
    <w:rsid w:val="002974E3"/>
    <w:rsid w:val="00297BC0"/>
    <w:rsid w:val="002A084B"/>
    <w:rsid w:val="002A1260"/>
    <w:rsid w:val="002A1589"/>
    <w:rsid w:val="002A1608"/>
    <w:rsid w:val="002A25DC"/>
    <w:rsid w:val="002A3AAB"/>
    <w:rsid w:val="002A48C0"/>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AA1"/>
    <w:rsid w:val="002D3D25"/>
    <w:rsid w:val="002D42B5"/>
    <w:rsid w:val="002D4F1A"/>
    <w:rsid w:val="002D6EC6"/>
    <w:rsid w:val="002D79AC"/>
    <w:rsid w:val="002E039D"/>
    <w:rsid w:val="002E4D5A"/>
    <w:rsid w:val="002E6326"/>
    <w:rsid w:val="002F30E0"/>
    <w:rsid w:val="002F35E4"/>
    <w:rsid w:val="002F3730"/>
    <w:rsid w:val="002F38E1"/>
    <w:rsid w:val="002F4422"/>
    <w:rsid w:val="002F7AF6"/>
    <w:rsid w:val="00300E63"/>
    <w:rsid w:val="00302F5F"/>
    <w:rsid w:val="0030441D"/>
    <w:rsid w:val="00306063"/>
    <w:rsid w:val="00313B85"/>
    <w:rsid w:val="00317988"/>
    <w:rsid w:val="003208EC"/>
    <w:rsid w:val="003221B4"/>
    <w:rsid w:val="0032258D"/>
    <w:rsid w:val="00322E62"/>
    <w:rsid w:val="00324D13"/>
    <w:rsid w:val="00324EDD"/>
    <w:rsid w:val="0033177E"/>
    <w:rsid w:val="003331E4"/>
    <w:rsid w:val="003365A9"/>
    <w:rsid w:val="00336C64"/>
    <w:rsid w:val="00337162"/>
    <w:rsid w:val="0034194F"/>
    <w:rsid w:val="0034306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6EA9"/>
    <w:rsid w:val="003705F4"/>
    <w:rsid w:val="00370D1C"/>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42A"/>
    <w:rsid w:val="003A11D1"/>
    <w:rsid w:val="003A1582"/>
    <w:rsid w:val="003A3D9C"/>
    <w:rsid w:val="003A4077"/>
    <w:rsid w:val="003A4AA7"/>
    <w:rsid w:val="003B09AD"/>
    <w:rsid w:val="003B1F18"/>
    <w:rsid w:val="003B5BF0"/>
    <w:rsid w:val="003B60BF"/>
    <w:rsid w:val="003B6BE3"/>
    <w:rsid w:val="003C010C"/>
    <w:rsid w:val="003C0A6C"/>
    <w:rsid w:val="003C14F8"/>
    <w:rsid w:val="003C234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5D7"/>
    <w:rsid w:val="004028AD"/>
    <w:rsid w:val="00404869"/>
    <w:rsid w:val="00405884"/>
    <w:rsid w:val="00407082"/>
    <w:rsid w:val="00407D39"/>
    <w:rsid w:val="0041477A"/>
    <w:rsid w:val="004167A3"/>
    <w:rsid w:val="00432DAA"/>
    <w:rsid w:val="00433A8F"/>
    <w:rsid w:val="00434305"/>
    <w:rsid w:val="00435DF7"/>
    <w:rsid w:val="0044083F"/>
    <w:rsid w:val="00441AE7"/>
    <w:rsid w:val="00445574"/>
    <w:rsid w:val="004467FB"/>
    <w:rsid w:val="004477FA"/>
    <w:rsid w:val="0045169F"/>
    <w:rsid w:val="00452D6B"/>
    <w:rsid w:val="00454484"/>
    <w:rsid w:val="0045517B"/>
    <w:rsid w:val="00463B77"/>
    <w:rsid w:val="00463C7B"/>
    <w:rsid w:val="004644A6"/>
    <w:rsid w:val="004659BD"/>
    <w:rsid w:val="00465EF0"/>
    <w:rsid w:val="00470775"/>
    <w:rsid w:val="004746B1"/>
    <w:rsid w:val="0047583F"/>
    <w:rsid w:val="00475DE8"/>
    <w:rsid w:val="004819CC"/>
    <w:rsid w:val="00481C44"/>
    <w:rsid w:val="00484936"/>
    <w:rsid w:val="00485C89"/>
    <w:rsid w:val="00486BE3"/>
    <w:rsid w:val="004905E4"/>
    <w:rsid w:val="00490A89"/>
    <w:rsid w:val="00490AB4"/>
    <w:rsid w:val="00492F02"/>
    <w:rsid w:val="004939AE"/>
    <w:rsid w:val="00495C30"/>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946"/>
    <w:rsid w:val="005801E3"/>
    <w:rsid w:val="00581802"/>
    <w:rsid w:val="005836A8"/>
    <w:rsid w:val="0058409C"/>
    <w:rsid w:val="00584262"/>
    <w:rsid w:val="00586630"/>
    <w:rsid w:val="00587ADD"/>
    <w:rsid w:val="005908F5"/>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E5E"/>
    <w:rsid w:val="005C5F21"/>
    <w:rsid w:val="005C7156"/>
    <w:rsid w:val="005D0C75"/>
    <w:rsid w:val="005D4171"/>
    <w:rsid w:val="005D6A95"/>
    <w:rsid w:val="005D6B2C"/>
    <w:rsid w:val="005D6D9C"/>
    <w:rsid w:val="005D7D12"/>
    <w:rsid w:val="005E2335"/>
    <w:rsid w:val="005E34CA"/>
    <w:rsid w:val="005E3C18"/>
    <w:rsid w:val="005E4250"/>
    <w:rsid w:val="005E6812"/>
    <w:rsid w:val="005E7881"/>
    <w:rsid w:val="005E78E0"/>
    <w:rsid w:val="005F0D9C"/>
    <w:rsid w:val="005F284E"/>
    <w:rsid w:val="006015CE"/>
    <w:rsid w:val="00604784"/>
    <w:rsid w:val="00606419"/>
    <w:rsid w:val="00607D29"/>
    <w:rsid w:val="00611832"/>
    <w:rsid w:val="006124E5"/>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F9"/>
    <w:rsid w:val="00651ACB"/>
    <w:rsid w:val="00651C47"/>
    <w:rsid w:val="00652AB2"/>
    <w:rsid w:val="00653FED"/>
    <w:rsid w:val="00654EC0"/>
    <w:rsid w:val="006550F0"/>
    <w:rsid w:val="0065525B"/>
    <w:rsid w:val="00655D4F"/>
    <w:rsid w:val="00656D29"/>
    <w:rsid w:val="006640E5"/>
    <w:rsid w:val="006646F1"/>
    <w:rsid w:val="00664929"/>
    <w:rsid w:val="00664F62"/>
    <w:rsid w:val="006655E1"/>
    <w:rsid w:val="00672060"/>
    <w:rsid w:val="00672BEC"/>
    <w:rsid w:val="00672BFD"/>
    <w:rsid w:val="00673195"/>
    <w:rsid w:val="00674F84"/>
    <w:rsid w:val="0067522E"/>
    <w:rsid w:val="006770F4"/>
    <w:rsid w:val="00677A84"/>
    <w:rsid w:val="0068026D"/>
    <w:rsid w:val="00680A27"/>
    <w:rsid w:val="006816A4"/>
    <w:rsid w:val="006819B8"/>
    <w:rsid w:val="00683731"/>
    <w:rsid w:val="006840A6"/>
    <w:rsid w:val="006850CD"/>
    <w:rsid w:val="00685AAB"/>
    <w:rsid w:val="006A07AA"/>
    <w:rsid w:val="006A25E5"/>
    <w:rsid w:val="006A2B46"/>
    <w:rsid w:val="006A336D"/>
    <w:rsid w:val="006A37B9"/>
    <w:rsid w:val="006B2672"/>
    <w:rsid w:val="006B4DCE"/>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8B2"/>
    <w:rsid w:val="006E1A49"/>
    <w:rsid w:val="006F03A8"/>
    <w:rsid w:val="006F203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222"/>
    <w:rsid w:val="0073152F"/>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A2B"/>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8C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462"/>
    <w:rsid w:val="007D76BD"/>
    <w:rsid w:val="007E0BF1"/>
    <w:rsid w:val="007E3745"/>
    <w:rsid w:val="007E5221"/>
    <w:rsid w:val="007E56B3"/>
    <w:rsid w:val="007F0ED8"/>
    <w:rsid w:val="007F0F63"/>
    <w:rsid w:val="007F5FEB"/>
    <w:rsid w:val="007F75CE"/>
    <w:rsid w:val="008013A4"/>
    <w:rsid w:val="008027CE"/>
    <w:rsid w:val="00802F42"/>
    <w:rsid w:val="00804383"/>
    <w:rsid w:val="00804BB7"/>
    <w:rsid w:val="00804D41"/>
    <w:rsid w:val="00810257"/>
    <w:rsid w:val="008104F5"/>
    <w:rsid w:val="00811072"/>
    <w:rsid w:val="00811369"/>
    <w:rsid w:val="00812275"/>
    <w:rsid w:val="00815419"/>
    <w:rsid w:val="008163C8"/>
    <w:rsid w:val="008164A1"/>
    <w:rsid w:val="00817325"/>
    <w:rsid w:val="008209E6"/>
    <w:rsid w:val="00821D19"/>
    <w:rsid w:val="00823303"/>
    <w:rsid w:val="008233B2"/>
    <w:rsid w:val="00823A9F"/>
    <w:rsid w:val="00823C85"/>
    <w:rsid w:val="00825138"/>
    <w:rsid w:val="008269DD"/>
    <w:rsid w:val="00830621"/>
    <w:rsid w:val="00830DD5"/>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2F3"/>
    <w:rsid w:val="00896DFF"/>
    <w:rsid w:val="0089762C"/>
    <w:rsid w:val="008A173B"/>
    <w:rsid w:val="008A1893"/>
    <w:rsid w:val="008A2947"/>
    <w:rsid w:val="008A57E6"/>
    <w:rsid w:val="008A6788"/>
    <w:rsid w:val="008A6F81"/>
    <w:rsid w:val="008A769A"/>
    <w:rsid w:val="008B0C9C"/>
    <w:rsid w:val="008B166D"/>
    <w:rsid w:val="008B17F4"/>
    <w:rsid w:val="008B3615"/>
    <w:rsid w:val="008B4AC4"/>
    <w:rsid w:val="008B50C8"/>
    <w:rsid w:val="008B5281"/>
    <w:rsid w:val="008B5876"/>
    <w:rsid w:val="008B7E05"/>
    <w:rsid w:val="008C1797"/>
    <w:rsid w:val="008C219C"/>
    <w:rsid w:val="008C4203"/>
    <w:rsid w:val="008C475E"/>
    <w:rsid w:val="008C619A"/>
    <w:rsid w:val="008D0BE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3CC"/>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553"/>
    <w:rsid w:val="0095496B"/>
    <w:rsid w:val="00960F1E"/>
    <w:rsid w:val="009610DC"/>
    <w:rsid w:val="00961490"/>
    <w:rsid w:val="00962BE8"/>
    <w:rsid w:val="0096381A"/>
    <w:rsid w:val="00965E04"/>
    <w:rsid w:val="009674AD"/>
    <w:rsid w:val="00970295"/>
    <w:rsid w:val="00970CDC"/>
    <w:rsid w:val="00975727"/>
    <w:rsid w:val="00977010"/>
    <w:rsid w:val="00977D02"/>
    <w:rsid w:val="00977FF9"/>
    <w:rsid w:val="009809BB"/>
    <w:rsid w:val="0098364B"/>
    <w:rsid w:val="00984B9E"/>
    <w:rsid w:val="009908A3"/>
    <w:rsid w:val="009911AF"/>
    <w:rsid w:val="00991875"/>
    <w:rsid w:val="00991F92"/>
    <w:rsid w:val="00992985"/>
    <w:rsid w:val="00993889"/>
    <w:rsid w:val="0099551B"/>
    <w:rsid w:val="00995B34"/>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AD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9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8EA"/>
    <w:rsid w:val="00A55BD6"/>
    <w:rsid w:val="00A55D50"/>
    <w:rsid w:val="00A57142"/>
    <w:rsid w:val="00A648CD"/>
    <w:rsid w:val="00A6537A"/>
    <w:rsid w:val="00A67866"/>
    <w:rsid w:val="00A70B07"/>
    <w:rsid w:val="00A723F8"/>
    <w:rsid w:val="00A75464"/>
    <w:rsid w:val="00A77CCB"/>
    <w:rsid w:val="00A83D8D"/>
    <w:rsid w:val="00A8446B"/>
    <w:rsid w:val="00A8473F"/>
    <w:rsid w:val="00A862D6"/>
    <w:rsid w:val="00A8715E"/>
    <w:rsid w:val="00A9295B"/>
    <w:rsid w:val="00A93B09"/>
    <w:rsid w:val="00A952D7"/>
    <w:rsid w:val="00A963F7"/>
    <w:rsid w:val="00A96AD8"/>
    <w:rsid w:val="00A97E31"/>
    <w:rsid w:val="00AA052C"/>
    <w:rsid w:val="00AA1E45"/>
    <w:rsid w:val="00AA4286"/>
    <w:rsid w:val="00AA456B"/>
    <w:rsid w:val="00AA57F5"/>
    <w:rsid w:val="00AA5C87"/>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403"/>
    <w:rsid w:val="00AF47C5"/>
    <w:rsid w:val="00AF5398"/>
    <w:rsid w:val="00B049AF"/>
    <w:rsid w:val="00B07242"/>
    <w:rsid w:val="00B10534"/>
    <w:rsid w:val="00B113DB"/>
    <w:rsid w:val="00B11D8A"/>
    <w:rsid w:val="00B12981"/>
    <w:rsid w:val="00B147DD"/>
    <w:rsid w:val="00B156FD"/>
    <w:rsid w:val="00B170F4"/>
    <w:rsid w:val="00B21F61"/>
    <w:rsid w:val="00B261F1"/>
    <w:rsid w:val="00B265BC"/>
    <w:rsid w:val="00B26AF4"/>
    <w:rsid w:val="00B302FE"/>
    <w:rsid w:val="00B31607"/>
    <w:rsid w:val="00B31FB1"/>
    <w:rsid w:val="00B33952"/>
    <w:rsid w:val="00B33C5E"/>
    <w:rsid w:val="00B342F4"/>
    <w:rsid w:val="00B34369"/>
    <w:rsid w:val="00B34DC2"/>
    <w:rsid w:val="00B361F8"/>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40C"/>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0AC"/>
    <w:rsid w:val="00BE5B52"/>
    <w:rsid w:val="00BE7B8D"/>
    <w:rsid w:val="00BF0993"/>
    <w:rsid w:val="00BF10A9"/>
    <w:rsid w:val="00BF1703"/>
    <w:rsid w:val="00BF231C"/>
    <w:rsid w:val="00BF51E5"/>
    <w:rsid w:val="00BF74A6"/>
    <w:rsid w:val="00C013AD"/>
    <w:rsid w:val="00C04904"/>
    <w:rsid w:val="00C056B3"/>
    <w:rsid w:val="00C05A17"/>
    <w:rsid w:val="00C103E5"/>
    <w:rsid w:val="00C13319"/>
    <w:rsid w:val="00C13EE9"/>
    <w:rsid w:val="00C21540"/>
    <w:rsid w:val="00C21906"/>
    <w:rsid w:val="00C21BFA"/>
    <w:rsid w:val="00C22638"/>
    <w:rsid w:val="00C24C8D"/>
    <w:rsid w:val="00C25FE2"/>
    <w:rsid w:val="00C26B53"/>
    <w:rsid w:val="00C27302"/>
    <w:rsid w:val="00C279B2"/>
    <w:rsid w:val="00C33E50"/>
    <w:rsid w:val="00C34C20"/>
    <w:rsid w:val="00C3581A"/>
    <w:rsid w:val="00C35A3E"/>
    <w:rsid w:val="00C42130"/>
    <w:rsid w:val="00C423A4"/>
    <w:rsid w:val="00C423E3"/>
    <w:rsid w:val="00C43F1F"/>
    <w:rsid w:val="00C44BF5"/>
    <w:rsid w:val="00C50D98"/>
    <w:rsid w:val="00C521D6"/>
    <w:rsid w:val="00C55232"/>
    <w:rsid w:val="00C553A4"/>
    <w:rsid w:val="00C55A06"/>
    <w:rsid w:val="00C55D03"/>
    <w:rsid w:val="00C55DB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884"/>
    <w:rsid w:val="00CA7AFD"/>
    <w:rsid w:val="00CA7C3C"/>
    <w:rsid w:val="00CA7FE2"/>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E73"/>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D53"/>
    <w:rsid w:val="00D4514F"/>
    <w:rsid w:val="00D451E2"/>
    <w:rsid w:val="00D45C7C"/>
    <w:rsid w:val="00D45E89"/>
    <w:rsid w:val="00D45E8D"/>
    <w:rsid w:val="00D466AE"/>
    <w:rsid w:val="00D4683F"/>
    <w:rsid w:val="00D4734F"/>
    <w:rsid w:val="00D47A28"/>
    <w:rsid w:val="00D51BF3"/>
    <w:rsid w:val="00D66846"/>
    <w:rsid w:val="00D675FB"/>
    <w:rsid w:val="00D70444"/>
    <w:rsid w:val="00D71F25"/>
    <w:rsid w:val="00D72A9C"/>
    <w:rsid w:val="00D76E8F"/>
    <w:rsid w:val="00D77031"/>
    <w:rsid w:val="00D8125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D29"/>
    <w:rsid w:val="00DD25C6"/>
    <w:rsid w:val="00DD4FE5"/>
    <w:rsid w:val="00DD54B0"/>
    <w:rsid w:val="00DD57EE"/>
    <w:rsid w:val="00DD6BCC"/>
    <w:rsid w:val="00DE0A4B"/>
    <w:rsid w:val="00DE2410"/>
    <w:rsid w:val="00DE2939"/>
    <w:rsid w:val="00DE49A2"/>
    <w:rsid w:val="00DE54C5"/>
    <w:rsid w:val="00DE6E81"/>
    <w:rsid w:val="00DE6F37"/>
    <w:rsid w:val="00DE703F"/>
    <w:rsid w:val="00DE7595"/>
    <w:rsid w:val="00DF1741"/>
    <w:rsid w:val="00DF1961"/>
    <w:rsid w:val="00DF3D60"/>
    <w:rsid w:val="00DF44DE"/>
    <w:rsid w:val="00E01138"/>
    <w:rsid w:val="00E02DFB"/>
    <w:rsid w:val="00E030F9"/>
    <w:rsid w:val="00E0311A"/>
    <w:rsid w:val="00E03138"/>
    <w:rsid w:val="00E0388F"/>
    <w:rsid w:val="00E06404"/>
    <w:rsid w:val="00E11A85"/>
    <w:rsid w:val="00E12495"/>
    <w:rsid w:val="00E15CCD"/>
    <w:rsid w:val="00E202EF"/>
    <w:rsid w:val="00E210B5"/>
    <w:rsid w:val="00E2552F"/>
    <w:rsid w:val="00E3137A"/>
    <w:rsid w:val="00E32CCF"/>
    <w:rsid w:val="00E3399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57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B3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69A"/>
    <w:rsid w:val="00EE613F"/>
    <w:rsid w:val="00EE7295"/>
    <w:rsid w:val="00EE7869"/>
    <w:rsid w:val="00EF054A"/>
    <w:rsid w:val="00EF3235"/>
    <w:rsid w:val="00EF7E72"/>
    <w:rsid w:val="00F001F5"/>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FA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2E3"/>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776"/>
    <w:rsid w:val="00FC17B7"/>
    <w:rsid w:val="00FC2CB7"/>
    <w:rsid w:val="00FC4090"/>
    <w:rsid w:val="00FC55B4"/>
    <w:rsid w:val="00FD00E6"/>
    <w:rsid w:val="00FD0427"/>
    <w:rsid w:val="00FD09A1"/>
    <w:rsid w:val="00FD2A7C"/>
    <w:rsid w:val="00FD59EB"/>
    <w:rsid w:val="00FD7299"/>
    <w:rsid w:val="00FE1FBE"/>
    <w:rsid w:val="00FE3901"/>
    <w:rsid w:val="00FE39D3"/>
    <w:rsid w:val="00FE4BCE"/>
    <w:rsid w:val="00FE54AE"/>
    <w:rsid w:val="00FE576A"/>
    <w:rsid w:val="00FE7E79"/>
    <w:rsid w:val="00FF3E7D"/>
    <w:rsid w:val="00FF5B99"/>
    <w:rsid w:val="00FF644B"/>
    <w:rsid w:val="00FF730C"/>
    <w:rsid w:val="00FF73F4"/>
    <w:rsid w:val="00FF7CE4"/>
    <w:rsid w:val="00FF7E39"/>
    <w:rsid w:val="5C6E2CF0"/>
    <w:rsid w:val="6637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28D6A12D574167AE4D866A16CD4599"/>
        <w:style w:val=""/>
        <w:category>
          <w:name w:val="常规"/>
          <w:gallery w:val="placeholder"/>
        </w:category>
        <w:types>
          <w:type w:val="bbPlcHdr"/>
        </w:types>
        <w:behaviors>
          <w:behavior w:val="content"/>
        </w:behaviors>
        <w:description w:val=""/>
        <w:guid w:val="{4FDB61FF-DDB2-414B-906B-0E76A5ED9BFD}"/>
      </w:docPartPr>
      <w:docPartBody>
        <w:p>
          <w:pPr>
            <w:pStyle w:val="5"/>
          </w:pPr>
          <w:r>
            <w:rPr>
              <w:rStyle w:val="4"/>
              <w:rFonts w:hint="eastAsia"/>
            </w:rPr>
            <w:t>单击或点击此处输入文字。</w:t>
          </w:r>
        </w:p>
      </w:docPartBody>
    </w:docPart>
    <w:docPart>
      <w:docPartPr>
        <w:name w:val="D561590B58E74BD3ACB474C7F3E41B6C"/>
        <w:style w:val=""/>
        <w:category>
          <w:name w:val="常规"/>
          <w:gallery w:val="placeholder"/>
        </w:category>
        <w:types>
          <w:type w:val="bbPlcHdr"/>
        </w:types>
        <w:behaviors>
          <w:behavior w:val="content"/>
        </w:behaviors>
        <w:description w:val=""/>
        <w:guid w:val="{AA03998A-8C20-4502-B394-0E2D366166E0}"/>
      </w:docPartPr>
      <w:docPartBody>
        <w:p>
          <w:pPr>
            <w:pStyle w:val="6"/>
          </w:pPr>
          <w:r>
            <w:rPr>
              <w:rStyle w:val="4"/>
              <w:rFonts w:hint="eastAsia"/>
            </w:rPr>
            <w:t>选择一项。</w:t>
          </w:r>
        </w:p>
      </w:docPartBody>
    </w:docPart>
    <w:docPart>
      <w:docPartPr>
        <w:name w:val="F0CB7330571D4B2BA8CA1619AEABEC13"/>
        <w:style w:val=""/>
        <w:category>
          <w:name w:val="常规"/>
          <w:gallery w:val="placeholder"/>
        </w:category>
        <w:types>
          <w:type w:val="bbPlcHdr"/>
        </w:types>
        <w:behaviors>
          <w:behavior w:val="content"/>
        </w:behaviors>
        <w:description w:val=""/>
        <w:guid w:val="{9EEE6B9C-BE10-4B1F-8CC7-4655A26A818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D1"/>
    <w:rsid w:val="00040E8C"/>
    <w:rsid w:val="000A0F78"/>
    <w:rsid w:val="00100C4A"/>
    <w:rsid w:val="001B77D1"/>
    <w:rsid w:val="003B07AA"/>
    <w:rsid w:val="00461E7B"/>
    <w:rsid w:val="006264EC"/>
    <w:rsid w:val="00632FC3"/>
    <w:rsid w:val="006351BD"/>
    <w:rsid w:val="006A1205"/>
    <w:rsid w:val="006D647E"/>
    <w:rsid w:val="00840DA6"/>
    <w:rsid w:val="008B0745"/>
    <w:rsid w:val="00921482"/>
    <w:rsid w:val="00943C6F"/>
    <w:rsid w:val="00A67B89"/>
    <w:rsid w:val="00B1558A"/>
    <w:rsid w:val="00CB6E27"/>
    <w:rsid w:val="00DD1D29"/>
    <w:rsid w:val="00E12CCE"/>
    <w:rsid w:val="00E32952"/>
    <w:rsid w:val="00EA2AF8"/>
    <w:rsid w:val="00F36584"/>
    <w:rsid w:val="00F46DE0"/>
    <w:rsid w:val="00F9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628D6A12D574167AE4D866A16CD45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561590B58E74BD3ACB474C7F3E41B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CB7330571D4B2BA8CA1619AEABEC1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2789B-7CBD-48CE-98F7-690D2EEA0E8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2144</Words>
  <Characters>2696</Characters>
  <Lines>25</Lines>
  <Paragraphs>7</Paragraphs>
  <TotalTime>2064</TotalTime>
  <ScaleCrop>false</ScaleCrop>
  <LinksUpToDate>false</LinksUpToDate>
  <CharactersWithSpaces>2965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2024-02-22T01:55:00Z</dcterms:created>
  <dc:creator>China</dc:creator>
  <cp:lastModifiedBy>旌阳</cp:lastModifiedBy>
  <cp:lastPrinted>2024-04-24T03:50:00Z</cp:lastPrinted>
  <dcterms:modified xsi:type="dcterms:W3CDTF">2024-05-29T03:51:00Z</dcterms:modified>
  <dc:title>团体标准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76B9E1DDF8A2460DABB3863AFC0A7FB7_12</vt:lpwstr>
  </property>
</Properties>
</file>