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E25607" w14:paraId="75F85894" w14:textId="77777777">
        <w:tc>
          <w:tcPr>
            <w:tcW w:w="509" w:type="dxa"/>
          </w:tcPr>
          <w:p w14:paraId="2C7BB203" w14:textId="77777777" w:rsidR="00E25607" w:rsidRDefault="00000000">
            <w:pPr>
              <w:pStyle w:val="affff2"/>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068F7D5" w14:textId="77777777" w:rsidR="00E25607" w:rsidRDefault="00000000">
            <w:pPr>
              <w:pStyle w:val="affff2"/>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65.020.20</w:t>
            </w:r>
            <w:r>
              <w:rPr>
                <w:rFonts w:ascii="黑体" w:eastAsia="黑体" w:hAnsi="黑体"/>
                <w:sz w:val="21"/>
                <w:szCs w:val="21"/>
              </w:rPr>
              <w:fldChar w:fldCharType="end"/>
            </w:r>
            <w:bookmarkEnd w:id="0"/>
          </w:p>
        </w:tc>
      </w:tr>
      <w:tr w:rsidR="00E25607" w14:paraId="589FD78B" w14:textId="77777777">
        <w:tc>
          <w:tcPr>
            <w:tcW w:w="509" w:type="dxa"/>
          </w:tcPr>
          <w:p w14:paraId="536B1A6E" w14:textId="77777777" w:rsidR="00E25607"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b"/>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E25607" w14:paraId="45ACA14D" w14:textId="77777777">
              <w:trPr>
                <w:trHeight w:hRule="exact" w:val="1021"/>
              </w:trPr>
              <w:tc>
                <w:tcPr>
                  <w:tcW w:w="9242" w:type="dxa"/>
                  <w:vAlign w:val="center"/>
                </w:tcPr>
                <w:p w14:paraId="4EE1C0C2" w14:textId="0D0EF0BC" w:rsidR="00E25607" w:rsidRDefault="00000000" w:rsidP="006A35B8">
                  <w:pPr>
                    <w:pStyle w:val="afffff4"/>
                    <w:framePr w:w="0" w:hRule="auto" w:wrap="auto" w:hAnchor="text" w:xAlign="left" w:yAlign="inline" w:anchorLock="0"/>
                    <w:ind w:left="420" w:right="624"/>
                    <w:rPr>
                      <w:rFonts w:ascii="宋体" w:hAnsi="宋体" w:hint="eastAsia"/>
                      <w:sz w:val="28"/>
                      <w:szCs w:val="28"/>
                    </w:rPr>
                  </w:pPr>
                  <w:r>
                    <w:rPr>
                      <w:noProof/>
                    </w:rPr>
                    <w:drawing>
                      <wp:inline distT="0" distB="0" distL="0" distR="0" wp14:anchorId="3F28059D" wp14:editId="7D6C3D56">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3C79FC43" wp14:editId="2ECF5F19">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sidR="006A35B8">
                    <w:rPr>
                      <w:rFonts w:hint="eastAsia"/>
                    </w:rPr>
                    <w:t>CSTC</w:t>
                  </w:r>
                  <w:r>
                    <w:fldChar w:fldCharType="end"/>
                  </w:r>
                  <w:bookmarkEnd w:id="1"/>
                </w:p>
              </w:tc>
            </w:tr>
          </w:tbl>
          <w:p w14:paraId="0AB4E41D" w14:textId="77777777" w:rsidR="00E25607"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B31</w:t>
            </w:r>
            <w:r>
              <w:rPr>
                <w:rFonts w:ascii="黑体" w:eastAsia="黑体" w:hAnsi="黑体"/>
                <w:sz w:val="21"/>
                <w:szCs w:val="21"/>
              </w:rPr>
              <w:fldChar w:fldCharType="end"/>
            </w:r>
            <w:bookmarkEnd w:id="2"/>
          </w:p>
        </w:tc>
      </w:tr>
    </w:tbl>
    <w:bookmarkStart w:id="3" w:name="_Hlk26473981"/>
    <w:p w14:paraId="071CD361" w14:textId="77777777" w:rsidR="00E25607" w:rsidRDefault="00000000">
      <w:pPr>
        <w:pStyle w:val="afffff5"/>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中国热带作物学会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77E5E895" w14:textId="1F88E6F2" w:rsidR="00E25607" w:rsidRDefault="00000000">
      <w:pPr>
        <w:pStyle w:val="affffffffff7"/>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sidR="006A35B8">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4A188CBF" w14:textId="77777777" w:rsidR="00E25607" w:rsidRDefault="00000000">
      <w:pPr>
        <w:pStyle w:val="affffffffff8"/>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2ADC5587" w14:textId="77777777" w:rsidR="00E25607"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648003DE" wp14:editId="1E2147EC">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1C9E339" w14:textId="77777777" w:rsidR="00E25607" w:rsidRDefault="00E25607">
      <w:pPr>
        <w:pStyle w:val="afffff5"/>
        <w:framePr w:w="9639" w:h="6976" w:hRule="exact" w:hSpace="0" w:vSpace="0" w:wrap="around" w:hAnchor="page" w:y="6408"/>
        <w:jc w:val="center"/>
        <w:rPr>
          <w:rFonts w:ascii="黑体" w:eastAsia="黑体" w:hAnsi="黑体" w:hint="eastAsia"/>
          <w:b w:val="0"/>
          <w:bCs w:val="0"/>
          <w:w w:val="100"/>
        </w:rPr>
      </w:pPr>
    </w:p>
    <w:p w14:paraId="191EF0FA" w14:textId="77777777" w:rsidR="00E25607" w:rsidRDefault="00000000">
      <w:pPr>
        <w:pStyle w:val="affffffffff9"/>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香水柠檬绿色生产技术规程</w:t>
      </w:r>
      <w:r>
        <w:fldChar w:fldCharType="end"/>
      </w:r>
      <w:bookmarkEnd w:id="9"/>
    </w:p>
    <w:p w14:paraId="530F768B" w14:textId="77777777" w:rsidR="00E25607" w:rsidRDefault="00E25607">
      <w:pPr>
        <w:framePr w:w="9639" w:h="6974" w:hRule="exact" w:wrap="around" w:vAnchor="page" w:hAnchor="page" w:x="1419" w:y="6408" w:anchorLock="1"/>
        <w:ind w:left="-1418"/>
      </w:pPr>
    </w:p>
    <w:p w14:paraId="13439687" w14:textId="77777777" w:rsidR="00E25607" w:rsidRDefault="00000000">
      <w:pPr>
        <w:pStyle w:val="afffffffd"/>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 xml:space="preserve">Technical regulation for </w:t>
      </w:r>
      <w:r>
        <w:rPr>
          <w:rFonts w:eastAsia="黑体" w:hint="eastAsia"/>
          <w:szCs w:val="28"/>
        </w:rPr>
        <w:t>‘</w:t>
      </w:r>
      <w:r>
        <w:rPr>
          <w:rFonts w:eastAsia="黑体" w:hint="eastAsia"/>
          <w:szCs w:val="28"/>
        </w:rPr>
        <w:t>Xiangshui</w:t>
      </w:r>
      <w:r>
        <w:rPr>
          <w:rFonts w:eastAsia="黑体" w:hint="eastAsia"/>
          <w:szCs w:val="28"/>
        </w:rPr>
        <w:t>’</w:t>
      </w:r>
      <w:r>
        <w:rPr>
          <w:rFonts w:eastAsia="黑体" w:hint="eastAsia"/>
          <w:szCs w:val="28"/>
        </w:rPr>
        <w:t xml:space="preserve"> lemon of green production</w:t>
      </w:r>
      <w:r>
        <w:rPr>
          <w:rFonts w:eastAsia="黑体"/>
          <w:szCs w:val="28"/>
        </w:rPr>
        <w:fldChar w:fldCharType="end"/>
      </w:r>
      <w:bookmarkEnd w:id="10"/>
    </w:p>
    <w:p w14:paraId="22F27F54" w14:textId="77777777" w:rsidR="00E25607" w:rsidRDefault="00E25607">
      <w:pPr>
        <w:framePr w:w="9639" w:h="6974" w:hRule="exact" w:wrap="around" w:vAnchor="page" w:hAnchor="page" w:x="1419" w:y="6408" w:anchorLock="1"/>
        <w:spacing w:line="760" w:lineRule="exact"/>
        <w:ind w:left="-1418"/>
      </w:pPr>
    </w:p>
    <w:p w14:paraId="4C0B7B87" w14:textId="77777777" w:rsidR="00E25607" w:rsidRDefault="00E25607">
      <w:pPr>
        <w:pStyle w:val="afffffffd"/>
        <w:framePr w:w="9639" w:h="6974" w:hRule="exact" w:wrap="around" w:vAnchor="page" w:hAnchor="page" w:x="1419" w:y="6408" w:anchorLock="1"/>
        <w:textAlignment w:val="bottom"/>
        <w:rPr>
          <w:rFonts w:eastAsia="黑体"/>
          <w:szCs w:val="28"/>
        </w:rPr>
      </w:pPr>
    </w:p>
    <w:p w14:paraId="6F8EC4DA" w14:textId="77777777" w:rsidR="00E25607" w:rsidRDefault="00000000">
      <w:pPr>
        <w:pStyle w:val="afffffffd"/>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5322E517" w14:textId="77777777" w:rsidR="00E25607" w:rsidRDefault="00000000">
      <w:pPr>
        <w:pStyle w:val="afffffffd"/>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7CBB93F8" w14:textId="77777777" w:rsidR="00E25607" w:rsidRDefault="00000000">
      <w:pPr>
        <w:pStyle w:val="afffffffd"/>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43289185" w14:textId="77777777" w:rsidR="00E25607" w:rsidRDefault="00000000">
      <w:pPr>
        <w:pStyle w:val="affffffffff5"/>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0663820C" w14:textId="77777777" w:rsidR="00E25607" w:rsidRDefault="00000000">
      <w:pPr>
        <w:pStyle w:val="affffffffff6"/>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3280BAF6" w14:textId="77777777" w:rsidR="00E25607" w:rsidRDefault="00000000">
      <w:pPr>
        <w:pStyle w:val="affffffffd"/>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     </w:t>
      </w:r>
      <w:r>
        <w:rPr>
          <w:rFonts w:hAnsi="黑体"/>
          <w:w w:val="100"/>
          <w:sz w:val="28"/>
        </w:rPr>
        <w:fldChar w:fldCharType="end"/>
      </w:r>
      <w:bookmarkEnd w:id="20"/>
      <w:r>
        <w:rPr>
          <w:rFonts w:ascii="Times New Roman"/>
          <w:w w:val="100"/>
          <w:sz w:val="28"/>
        </w:rPr>
        <w:t>  </w:t>
      </w:r>
      <w:r>
        <w:rPr>
          <w:rStyle w:val="afffffffffffe"/>
          <w:rFonts w:hAnsi="黑体" w:hint="eastAsia"/>
          <w:position w:val="0"/>
        </w:rPr>
        <w:t>发</w:t>
      </w:r>
      <w:r>
        <w:rPr>
          <w:rStyle w:val="afffffffffffe"/>
          <w:rFonts w:hAnsi="黑体" w:hint="eastAsia"/>
          <w:spacing w:val="0"/>
          <w:position w:val="0"/>
        </w:rPr>
        <w:t>布</w:t>
      </w:r>
    </w:p>
    <w:p w14:paraId="0F91367A" w14:textId="77777777" w:rsidR="00E25607" w:rsidRDefault="00000000">
      <w:pPr>
        <w:rPr>
          <w:rFonts w:ascii="宋体" w:hAnsi="宋体" w:hint="eastAsia"/>
          <w:sz w:val="28"/>
          <w:szCs w:val="28"/>
        </w:rPr>
        <w:sectPr w:rsidR="00E25607">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7DD0EE44" wp14:editId="5351961F">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0E3A842" w14:textId="77777777" w:rsidR="00E25607" w:rsidRDefault="00000000">
      <w:pPr>
        <w:pStyle w:val="a6"/>
        <w:spacing w:before="900" w:after="360"/>
      </w:pPr>
      <w:bookmarkStart w:id="21" w:name="BookMark2"/>
      <w:r>
        <w:rPr>
          <w:spacing w:val="320"/>
        </w:rPr>
        <w:lastRenderedPageBreak/>
        <w:t>前</w:t>
      </w:r>
      <w:r>
        <w:t>言</w:t>
      </w:r>
    </w:p>
    <w:p w14:paraId="48BABFD2" w14:textId="77777777" w:rsidR="00E25607" w:rsidRDefault="00000000">
      <w:pPr>
        <w:pStyle w:val="afffffa"/>
        <w:spacing w:line="400" w:lineRule="atLeast"/>
        <w:ind w:firstLine="420"/>
        <w:rPr>
          <w:rFonts w:ascii="Times New Roman"/>
        </w:rPr>
      </w:pPr>
      <w:r>
        <w:rPr>
          <w:rFonts w:ascii="Times New Roman"/>
        </w:rPr>
        <w:t>本文件按照</w:t>
      </w:r>
      <w:r>
        <w:rPr>
          <w:rFonts w:ascii="Times New Roman"/>
        </w:rPr>
        <w:t>GB/T 1.1—2020</w:t>
      </w:r>
      <w:r>
        <w:rPr>
          <w:rFonts w:ascii="Times New Roman"/>
        </w:rPr>
        <w:t>《标准化工作导则</w:t>
      </w:r>
      <w:r>
        <w:rPr>
          <w:rFonts w:ascii="Times New Roman"/>
        </w:rPr>
        <w:t xml:space="preserve">  </w:t>
      </w:r>
      <w:r>
        <w:rPr>
          <w:rFonts w:ascii="Times New Roman"/>
        </w:rPr>
        <w:t>第</w:t>
      </w:r>
      <w:r>
        <w:rPr>
          <w:rFonts w:ascii="Times New Roman"/>
        </w:rPr>
        <w:t>1</w:t>
      </w:r>
      <w:r>
        <w:rPr>
          <w:rFonts w:ascii="Times New Roman"/>
        </w:rPr>
        <w:t>部分：标准化文件的结构和起草规则》的规定起草。</w:t>
      </w:r>
    </w:p>
    <w:p w14:paraId="3F5DBEF2" w14:textId="77777777" w:rsidR="00E25607" w:rsidRDefault="00000000">
      <w:pPr>
        <w:pStyle w:val="afffffa"/>
        <w:spacing w:line="400" w:lineRule="atLeast"/>
        <w:ind w:firstLine="420"/>
        <w:rPr>
          <w:rFonts w:ascii="Times New Roman"/>
        </w:rPr>
      </w:pPr>
      <w:r>
        <w:rPr>
          <w:rFonts w:ascii="Times New Roman" w:hint="eastAsia"/>
        </w:rPr>
        <w:t>请注意本文件的某些内容可能涉及专利。本文件的发布机构不承担识别专利的责任。</w:t>
      </w:r>
    </w:p>
    <w:p w14:paraId="0A7313B9" w14:textId="77777777" w:rsidR="00E25607" w:rsidRDefault="00000000">
      <w:pPr>
        <w:pStyle w:val="afffffa"/>
        <w:spacing w:line="400" w:lineRule="atLeast"/>
        <w:ind w:firstLine="420"/>
        <w:rPr>
          <w:rFonts w:ascii="Times New Roman"/>
        </w:rPr>
      </w:pPr>
      <w:r>
        <w:rPr>
          <w:rFonts w:ascii="Times New Roman"/>
        </w:rPr>
        <w:t>本文件由</w:t>
      </w:r>
      <w:r>
        <w:rPr>
          <w:rFonts w:ascii="Times New Roman" w:hint="eastAsia"/>
        </w:rPr>
        <w:t>中国热带作物学会</w:t>
      </w:r>
      <w:r>
        <w:rPr>
          <w:rFonts w:ascii="Times New Roman"/>
        </w:rPr>
        <w:t>提出</w:t>
      </w:r>
      <w:r>
        <w:rPr>
          <w:rFonts w:ascii="Times New Roman" w:hint="eastAsia"/>
        </w:rPr>
        <w:t>并归口</w:t>
      </w:r>
      <w:r>
        <w:rPr>
          <w:rFonts w:ascii="Times New Roman"/>
        </w:rPr>
        <w:t>。</w:t>
      </w:r>
    </w:p>
    <w:p w14:paraId="7BC85075" w14:textId="77777777" w:rsidR="00E25607" w:rsidRDefault="00000000">
      <w:pPr>
        <w:pStyle w:val="afffffa"/>
        <w:spacing w:line="400" w:lineRule="atLeast"/>
        <w:ind w:firstLine="420"/>
        <w:rPr>
          <w:rFonts w:ascii="Times New Roman"/>
        </w:rPr>
      </w:pPr>
      <w:r>
        <w:rPr>
          <w:rFonts w:ascii="Times New Roman"/>
        </w:rPr>
        <w:t>本文件起草单位：</w:t>
      </w:r>
      <w:r>
        <w:rPr>
          <w:rFonts w:hint="eastAsia"/>
        </w:rPr>
        <w:t>云南省农业科学院热带亚热带经济作物研究所、巍山聚丰农业科技有限公司、中国科学院昆明植物研究所、云南省林业和草原科学研究院、大理州巍山彝族回族自治县农业农村局、巍山彝族回族自治县农业农村局园艺工作站。</w:t>
      </w:r>
    </w:p>
    <w:p w14:paraId="4EC397CE" w14:textId="77777777" w:rsidR="00E25607" w:rsidRDefault="00000000">
      <w:pPr>
        <w:pStyle w:val="afffffa"/>
        <w:spacing w:line="400" w:lineRule="atLeast"/>
        <w:ind w:firstLine="420"/>
      </w:pPr>
      <w:r>
        <w:rPr>
          <w:rFonts w:ascii="Times New Roman"/>
        </w:rPr>
        <w:t>本文件主要起草人：</w:t>
      </w:r>
      <w:r>
        <w:rPr>
          <w:rFonts w:hAnsi="宋体" w:cs="宋体" w:hint="eastAsia"/>
          <w:szCs w:val="21"/>
        </w:rPr>
        <w:t>刘红明、龙春瑞、周先艳、王绍华、褚峰鑫、严炜、许建初、杜玉霞、付小猛、李雪佳、刘志彤、刘振稳、史文斌、杨建东、杨虹霞、赖新朴、曹永福、郭俊。</w:t>
      </w:r>
    </w:p>
    <w:p w14:paraId="40A3AB0E" w14:textId="77777777" w:rsidR="00E25607" w:rsidRDefault="00E25607">
      <w:pPr>
        <w:pStyle w:val="afffffa"/>
        <w:ind w:firstLine="420"/>
        <w:sectPr w:rsidR="00E25607">
          <w:headerReference w:type="default" r:id="rId17"/>
          <w:footerReference w:type="default" r:id="rId18"/>
          <w:pgSz w:w="11906" w:h="16838"/>
          <w:pgMar w:top="1928" w:right="1134" w:bottom="1134" w:left="1134" w:header="1418" w:footer="1134" w:gutter="284"/>
          <w:pgNumType w:fmt="upperRoman" w:start="1"/>
          <w:cols w:space="425"/>
          <w:formProt w:val="0"/>
          <w:docGrid w:linePitch="312"/>
        </w:sectPr>
      </w:pPr>
    </w:p>
    <w:p w14:paraId="61E5FD2B" w14:textId="77777777" w:rsidR="00E25607" w:rsidRDefault="00E25607">
      <w:pPr>
        <w:spacing w:line="20" w:lineRule="exact"/>
        <w:jc w:val="center"/>
        <w:rPr>
          <w:rFonts w:ascii="黑体" w:eastAsia="黑体" w:hAnsi="黑体" w:hint="eastAsia"/>
          <w:sz w:val="32"/>
          <w:szCs w:val="32"/>
        </w:rPr>
      </w:pPr>
      <w:bookmarkStart w:id="22" w:name="BookMark4"/>
      <w:bookmarkEnd w:id="21"/>
    </w:p>
    <w:p w14:paraId="4F2E4698" w14:textId="77777777" w:rsidR="00E25607" w:rsidRDefault="00E25607">
      <w:pPr>
        <w:spacing w:line="20" w:lineRule="exact"/>
        <w:jc w:val="center"/>
        <w:rPr>
          <w:rFonts w:ascii="黑体" w:eastAsia="黑体" w:hAnsi="黑体" w:hint="eastAsia"/>
          <w:sz w:val="32"/>
          <w:szCs w:val="32"/>
        </w:rPr>
      </w:pPr>
    </w:p>
    <w:bookmarkStart w:id="23" w:name="NEW_STAND_NAME" w:displacedByCustomXml="next"/>
    <w:sdt>
      <w:sdtPr>
        <w:tag w:val="NEW_STAND_NAME"/>
        <w:id w:val="595910757"/>
        <w:lock w:val="sdtLocked"/>
        <w:placeholder>
          <w:docPart w:val="72EB79A776454EF38B46795D84214E15"/>
        </w:placeholder>
      </w:sdtPr>
      <w:sdtContent>
        <w:p w14:paraId="3D57053E" w14:textId="77777777" w:rsidR="00E25607" w:rsidRDefault="00000000">
          <w:pPr>
            <w:pStyle w:val="afffffffffd"/>
            <w:rPr>
              <w:rFonts w:hint="eastAsia"/>
            </w:rPr>
          </w:pPr>
          <w:r>
            <w:rPr>
              <w:rFonts w:hint="eastAsia"/>
              <w:b/>
              <w:color w:val="000000"/>
              <w:spacing w:val="8"/>
              <w:sz w:val="36"/>
              <w:szCs w:val="36"/>
            </w:rPr>
            <w:t>香水柠檬绿色生产技术规程</w:t>
          </w:r>
        </w:p>
      </w:sdtContent>
    </w:sdt>
    <w:p w14:paraId="4E70F510" w14:textId="77777777" w:rsidR="00E25607" w:rsidRDefault="00000000">
      <w:pPr>
        <w:pStyle w:val="affc"/>
        <w:spacing w:before="240" w:after="240"/>
        <w:ind w:left="0"/>
      </w:pPr>
      <w:bookmarkStart w:id="24" w:name="_Toc24884218"/>
      <w:bookmarkStart w:id="25" w:name="_Toc17233333"/>
      <w:bookmarkStart w:id="26" w:name="_Toc24884211"/>
      <w:bookmarkStart w:id="27" w:name="_Toc17233325"/>
      <w:bookmarkStart w:id="28" w:name="_Toc26718930"/>
      <w:bookmarkStart w:id="29" w:name="_Toc97192964"/>
      <w:bookmarkStart w:id="30" w:name="_Toc26986530"/>
      <w:bookmarkStart w:id="31" w:name="_Toc26986771"/>
      <w:bookmarkStart w:id="32" w:name="_Toc26648465"/>
      <w:bookmarkEnd w:id="23"/>
      <w:r>
        <w:rPr>
          <w:rFonts w:hint="eastAsia"/>
        </w:rPr>
        <w:t>范围</w:t>
      </w:r>
      <w:bookmarkEnd w:id="24"/>
      <w:bookmarkEnd w:id="25"/>
      <w:bookmarkEnd w:id="26"/>
      <w:bookmarkEnd w:id="27"/>
      <w:bookmarkEnd w:id="28"/>
      <w:bookmarkEnd w:id="29"/>
      <w:bookmarkEnd w:id="30"/>
      <w:bookmarkEnd w:id="31"/>
      <w:bookmarkEnd w:id="32"/>
    </w:p>
    <w:p w14:paraId="5E7642F9" w14:textId="77777777" w:rsidR="00E25607" w:rsidRDefault="00000000">
      <w:pPr>
        <w:pStyle w:val="afffffa"/>
        <w:spacing w:line="400" w:lineRule="exact"/>
        <w:ind w:firstLine="420"/>
      </w:pPr>
      <w:bookmarkStart w:id="33" w:name="_Toc24884212"/>
      <w:bookmarkStart w:id="34" w:name="_Toc17233334"/>
      <w:bookmarkStart w:id="35" w:name="_Toc17233326"/>
      <w:bookmarkStart w:id="36" w:name="_Toc26648466"/>
      <w:bookmarkStart w:id="37" w:name="_Toc24884219"/>
      <w:r>
        <w:rPr>
          <w:rFonts w:hint="eastAsia"/>
        </w:rPr>
        <w:t>本文件规定了香水柠檬绿色生产所要求的园地选择与规划、园区建设、栽培管理、建立生产档案等相关技术。</w:t>
      </w:r>
    </w:p>
    <w:p w14:paraId="79F43454" w14:textId="77777777" w:rsidR="00E25607" w:rsidRDefault="00000000">
      <w:pPr>
        <w:pStyle w:val="afffffa"/>
        <w:spacing w:line="400" w:lineRule="exact"/>
        <w:ind w:firstLine="420"/>
      </w:pPr>
      <w:r>
        <w:rPr>
          <w:rFonts w:hint="eastAsia"/>
        </w:rPr>
        <w:t>本文件适用于云南香水柠檬绿色生产。</w:t>
      </w:r>
    </w:p>
    <w:p w14:paraId="28886D9B" w14:textId="77777777" w:rsidR="00E25607" w:rsidRDefault="00000000">
      <w:pPr>
        <w:pStyle w:val="affc"/>
        <w:spacing w:before="240" w:after="240"/>
        <w:ind w:left="0"/>
      </w:pPr>
      <w:bookmarkStart w:id="38" w:name="_Toc26718931"/>
      <w:bookmarkStart w:id="39" w:name="_Toc26986772"/>
      <w:bookmarkStart w:id="40" w:name="_Toc26986531"/>
      <w:bookmarkStart w:id="41" w:name="_Toc97192965"/>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1903353811"/>
        <w:placeholder>
          <w:docPart w:val="21EE55D61E7C4217883D433F8BB1F88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14E1AD27" w14:textId="77777777" w:rsidR="00E25607" w:rsidRDefault="00000000">
          <w:pPr>
            <w:pStyle w:val="afffffa"/>
            <w:spacing w:line="400" w:lineRule="exact"/>
            <w:ind w:firstLine="420"/>
            <w:rPr>
              <w:rFonts w:ascii="Calibri" w:hAnsi="Calibri"/>
              <w:kern w:val="2"/>
              <w:szCs w:val="21"/>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0BC5C7A" w14:textId="77777777" w:rsidR="00E25607" w:rsidRDefault="00000000">
      <w:pPr>
        <w:pStyle w:val="afffffa"/>
        <w:spacing w:line="400" w:lineRule="exact"/>
        <w:ind w:firstLine="420"/>
      </w:pPr>
      <w:r>
        <w:rPr>
          <w:rFonts w:ascii="Times New Roman"/>
        </w:rPr>
        <w:t>GB 15618-2018</w:t>
      </w:r>
      <w:r>
        <w:rPr>
          <w:rFonts w:hint="eastAsia"/>
        </w:rPr>
        <w:t xml:space="preserve"> 土壤环境质量农用地土壤污染风险管控标准（试行）</w:t>
      </w:r>
    </w:p>
    <w:p w14:paraId="45348DB6" w14:textId="77777777" w:rsidR="00E25607" w:rsidRDefault="00000000">
      <w:pPr>
        <w:pStyle w:val="afffffa"/>
        <w:spacing w:line="400" w:lineRule="exact"/>
        <w:ind w:firstLine="420"/>
      </w:pPr>
      <w:r>
        <w:rPr>
          <w:rFonts w:ascii="Times New Roman"/>
        </w:rPr>
        <w:t>GB 2763-2021</w:t>
      </w:r>
      <w:r>
        <w:rPr>
          <w:rFonts w:hint="eastAsia"/>
        </w:rPr>
        <w:t xml:space="preserve"> 食品中农药最大残留限量</w:t>
      </w:r>
    </w:p>
    <w:p w14:paraId="0C2D4D59" w14:textId="77777777" w:rsidR="00E25607" w:rsidRDefault="00000000">
      <w:pPr>
        <w:pStyle w:val="afffffa"/>
        <w:spacing w:line="400" w:lineRule="exact"/>
        <w:ind w:firstLine="420"/>
      </w:pPr>
      <w:r>
        <w:rPr>
          <w:rFonts w:ascii="Times New Roman"/>
        </w:rPr>
        <w:t>GB 3095</w:t>
      </w:r>
      <w:r>
        <w:rPr>
          <w:rFonts w:hint="eastAsia"/>
        </w:rPr>
        <w:t xml:space="preserve"> 环境空气质量标准</w:t>
      </w:r>
    </w:p>
    <w:p w14:paraId="40FCF4B9" w14:textId="77777777" w:rsidR="00E25607" w:rsidRDefault="00000000">
      <w:pPr>
        <w:pStyle w:val="afffffa"/>
        <w:spacing w:line="400" w:lineRule="exact"/>
        <w:ind w:firstLine="420"/>
      </w:pPr>
      <w:r>
        <w:rPr>
          <w:rFonts w:ascii="Times New Roman"/>
        </w:rPr>
        <w:t>GB 5084-2021</w:t>
      </w:r>
      <w:r>
        <w:rPr>
          <w:rFonts w:hint="eastAsia"/>
        </w:rPr>
        <w:t xml:space="preserve"> 农田灌溉水质标准</w:t>
      </w:r>
    </w:p>
    <w:p w14:paraId="4345292F" w14:textId="77777777" w:rsidR="00E25607" w:rsidRDefault="00000000">
      <w:pPr>
        <w:pStyle w:val="afffffa"/>
        <w:spacing w:line="400" w:lineRule="exact"/>
        <w:ind w:firstLine="420"/>
      </w:pPr>
      <w:r>
        <w:rPr>
          <w:rFonts w:ascii="Times New Roman"/>
        </w:rPr>
        <w:t>NY/T 391</w:t>
      </w:r>
      <w:r>
        <w:rPr>
          <w:rFonts w:hint="eastAsia"/>
        </w:rPr>
        <w:t xml:space="preserve"> 绿色食品 产地环境质量</w:t>
      </w:r>
    </w:p>
    <w:p w14:paraId="4F49D0F5" w14:textId="77777777" w:rsidR="00E25607" w:rsidRDefault="00000000">
      <w:pPr>
        <w:pStyle w:val="afffffa"/>
        <w:spacing w:line="400" w:lineRule="exact"/>
        <w:ind w:firstLine="420"/>
      </w:pPr>
      <w:r>
        <w:rPr>
          <w:rFonts w:ascii="Times New Roman"/>
        </w:rPr>
        <w:t>NY/T 394-2021</w:t>
      </w:r>
      <w:r>
        <w:rPr>
          <w:rFonts w:hint="eastAsia"/>
        </w:rPr>
        <w:t xml:space="preserve"> 绿色食品 肥料使用准则</w:t>
      </w:r>
    </w:p>
    <w:p w14:paraId="5DE21B86" w14:textId="77777777" w:rsidR="00E25607" w:rsidRDefault="00000000">
      <w:pPr>
        <w:pStyle w:val="afffffa"/>
        <w:spacing w:line="400" w:lineRule="exact"/>
        <w:ind w:firstLine="420"/>
      </w:pPr>
      <w:r>
        <w:rPr>
          <w:rFonts w:ascii="Times New Roman"/>
        </w:rPr>
        <w:t>NY/T 973-2006</w:t>
      </w:r>
      <w:r>
        <w:rPr>
          <w:rFonts w:hint="eastAsia"/>
        </w:rPr>
        <w:t xml:space="preserve"> 柑橘无病毒苗木繁育规程</w:t>
      </w:r>
    </w:p>
    <w:p w14:paraId="4646B953" w14:textId="77777777" w:rsidR="00E25607" w:rsidRDefault="00000000">
      <w:pPr>
        <w:pStyle w:val="affc"/>
        <w:spacing w:before="240" w:after="240"/>
        <w:ind w:left="0"/>
      </w:pPr>
      <w:bookmarkStart w:id="42" w:name="_Toc97192966"/>
      <w:r>
        <w:rPr>
          <w:rFonts w:hint="eastAsia"/>
          <w:szCs w:val="21"/>
        </w:rPr>
        <w:t>术语和定义</w:t>
      </w:r>
      <w:bookmarkStart w:id="43" w:name="_Toc26986532"/>
      <w:bookmarkEnd w:id="42"/>
      <w:bookmarkEnd w:id="43"/>
    </w:p>
    <w:sdt>
      <w:sdtPr>
        <w:id w:val="1650321857"/>
        <w:placeholder>
          <w:docPart w:val="89D536F5F59A43EC8B6BD47DD34EDD5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240703C" w14:textId="77777777" w:rsidR="00E25607" w:rsidRDefault="00000000">
          <w:pPr>
            <w:pStyle w:val="afffffa"/>
            <w:spacing w:line="400" w:lineRule="exact"/>
            <w:ind w:firstLine="420"/>
            <w:rPr>
              <w:rFonts w:ascii="Calibri" w:hAnsi="Calibri"/>
              <w:kern w:val="2"/>
              <w:szCs w:val="21"/>
            </w:rPr>
          </w:pPr>
          <w:r>
            <w:t>界定的术语和定义适用于本文件。</w:t>
          </w:r>
        </w:p>
      </w:sdtContent>
    </w:sdt>
    <w:p w14:paraId="1D1E616D" w14:textId="77777777" w:rsidR="00E25607" w:rsidRDefault="00E25607">
      <w:pPr>
        <w:pStyle w:val="afffffffffff9"/>
        <w:spacing w:beforeLines="50" w:before="120" w:afterLines="50" w:after="120"/>
        <w:ind w:left="420" w:hangingChars="200" w:hanging="420"/>
        <w:rPr>
          <w:rFonts w:ascii="黑体" w:eastAsia="黑体" w:hAnsi="黑体" w:hint="eastAsia"/>
        </w:rPr>
      </w:pPr>
    </w:p>
    <w:p w14:paraId="318C4BD8" w14:textId="77777777" w:rsidR="00E25607" w:rsidRDefault="00000000">
      <w:pPr>
        <w:pStyle w:val="afffffffffff9"/>
        <w:numPr>
          <w:ilvl w:val="0"/>
          <w:numId w:val="0"/>
        </w:numPr>
        <w:ind w:left="420"/>
        <w:rPr>
          <w:rFonts w:ascii="黑体" w:eastAsia="黑体" w:hAnsi="黑体" w:hint="eastAsia"/>
        </w:rPr>
      </w:pPr>
      <w:r>
        <w:rPr>
          <w:rFonts w:ascii="黑体" w:eastAsia="黑体" w:hAnsi="黑体" w:hint="eastAsia"/>
        </w:rPr>
        <w:t xml:space="preserve">香水柠檬 </w:t>
      </w:r>
      <w:r>
        <w:rPr>
          <w:rFonts w:ascii="Times New Roman" w:eastAsia="黑体"/>
        </w:rPr>
        <w:t>‘Xiangshui’ lemon</w:t>
      </w:r>
    </w:p>
    <w:p w14:paraId="6E466E9D" w14:textId="77777777" w:rsidR="00E25607" w:rsidRDefault="00000000">
      <w:pPr>
        <w:pStyle w:val="affffffffffff0"/>
        <w:snapToGrid w:val="0"/>
        <w:spacing w:beforeLines="0" w:afterLines="0"/>
        <w:ind w:firstLineChars="200" w:firstLine="420"/>
        <w:outlineLvl w:val="0"/>
        <w:rPr>
          <w:rFonts w:ascii="宋体" w:eastAsia="宋体" w:hAnsi="Times New Roman"/>
        </w:rPr>
      </w:pPr>
      <w:r>
        <w:rPr>
          <w:rFonts w:ascii="宋体" w:eastAsia="宋体" w:hAnsi="Times New Roman" w:hint="eastAsia"/>
        </w:rPr>
        <w:t>香水柠檬，又名小香橼，引自广东，是柠檬的栽培变种，其果实卵状椭圆形，乳突明显，平均果重70克～150克，果皮较厚，呈青色或淡黄色，果面光滑，果汁少而酸。</w:t>
      </w:r>
    </w:p>
    <w:p w14:paraId="1F0E7260" w14:textId="77777777" w:rsidR="00E25607" w:rsidRDefault="00000000">
      <w:pPr>
        <w:pStyle w:val="affc"/>
        <w:spacing w:before="240" w:after="240"/>
        <w:ind w:left="0"/>
      </w:pPr>
      <w:r>
        <w:rPr>
          <w:rFonts w:hint="eastAsia"/>
          <w:color w:val="000000" w:themeColor="text1"/>
        </w:rPr>
        <w:t>园地选择与规划</w:t>
      </w:r>
    </w:p>
    <w:p w14:paraId="084691BD" w14:textId="77777777" w:rsidR="00E25607" w:rsidRDefault="00000000">
      <w:pPr>
        <w:pStyle w:val="affd"/>
        <w:spacing w:before="120" w:after="120"/>
        <w:ind w:left="0"/>
      </w:pPr>
      <w:r>
        <w:rPr>
          <w:rFonts w:hint="eastAsia"/>
          <w:color w:val="000000" w:themeColor="text1"/>
        </w:rPr>
        <w:t>园地选择</w:t>
      </w:r>
    </w:p>
    <w:p w14:paraId="1651B05E" w14:textId="77777777" w:rsidR="00E25607" w:rsidRDefault="00000000">
      <w:pPr>
        <w:pStyle w:val="affd"/>
        <w:numPr>
          <w:ilvl w:val="0"/>
          <w:numId w:val="0"/>
        </w:numPr>
        <w:spacing w:before="120" w:after="120"/>
      </w:pPr>
      <w:r>
        <w:rPr>
          <w:rFonts w:hint="eastAsia"/>
        </w:rPr>
        <w:t>4.1.1 选择要求</w:t>
      </w:r>
    </w:p>
    <w:p w14:paraId="56E7BC2C" w14:textId="77777777" w:rsidR="00E25607" w:rsidRDefault="00000000">
      <w:pPr>
        <w:pStyle w:val="affd"/>
        <w:numPr>
          <w:ilvl w:val="0"/>
          <w:numId w:val="0"/>
        </w:numPr>
        <w:spacing w:before="120" w:after="120"/>
        <w:ind w:firstLineChars="200" w:firstLine="420"/>
        <w:rPr>
          <w:rFonts w:ascii="宋体" w:eastAsia="宋体"/>
        </w:rPr>
      </w:pPr>
      <w:r>
        <w:rPr>
          <w:rFonts w:ascii="宋体" w:eastAsia="宋体" w:hint="eastAsia"/>
        </w:rPr>
        <w:t>按照“布局合理、设施齐备”的原则，选择气候适宜、土质肥沃的缓坡或丘陵地建园。</w:t>
      </w:r>
    </w:p>
    <w:p w14:paraId="132ABC67" w14:textId="77777777" w:rsidR="00E25607" w:rsidRDefault="00000000">
      <w:pPr>
        <w:pStyle w:val="affd"/>
        <w:numPr>
          <w:ilvl w:val="0"/>
          <w:numId w:val="0"/>
        </w:numPr>
        <w:spacing w:before="120" w:after="120"/>
      </w:pPr>
      <w:r>
        <w:rPr>
          <w:rFonts w:hint="eastAsia"/>
        </w:rPr>
        <w:t>4.1.2 气候条件</w:t>
      </w:r>
    </w:p>
    <w:p w14:paraId="698A7BC7" w14:textId="77777777" w:rsidR="00E25607" w:rsidRDefault="00000000">
      <w:pPr>
        <w:pStyle w:val="afffffa"/>
        <w:spacing w:beforeLines="50" w:before="120" w:afterLines="50" w:after="120"/>
        <w:ind w:firstLine="420"/>
      </w:pPr>
      <w:r>
        <w:rPr>
          <w:rFonts w:hint="eastAsia"/>
        </w:rPr>
        <w:t>年平均温度16～23 ℃，绝对最低温度≥-1 ℃，1月平均温度≥8～15 ℃，年有效积温（≥10 ℃）5500 ℃以上；无霜期≥300天，年降雨量700毫米以上。</w:t>
      </w:r>
    </w:p>
    <w:p w14:paraId="00BB82A0" w14:textId="77777777" w:rsidR="00E25607" w:rsidRDefault="00000000">
      <w:pPr>
        <w:pStyle w:val="affd"/>
        <w:numPr>
          <w:ilvl w:val="0"/>
          <w:numId w:val="0"/>
        </w:numPr>
        <w:spacing w:before="120" w:after="120"/>
      </w:pPr>
      <w:r>
        <w:rPr>
          <w:rFonts w:hint="eastAsia"/>
        </w:rPr>
        <w:lastRenderedPageBreak/>
        <w:t>4.1.3 土壤条件</w:t>
      </w:r>
    </w:p>
    <w:p w14:paraId="348ED4DF" w14:textId="77777777" w:rsidR="00E25607" w:rsidRDefault="00000000">
      <w:pPr>
        <w:pStyle w:val="afffffa"/>
        <w:spacing w:beforeLines="50" w:before="120" w:afterLines="50" w:after="120"/>
        <w:ind w:firstLine="420"/>
        <w:rPr>
          <w:rFonts w:ascii="Times New Roman"/>
        </w:rPr>
      </w:pPr>
      <w:r>
        <w:rPr>
          <w:rFonts w:ascii="Times New Roman"/>
        </w:rPr>
        <w:t>选择土层深厚（</w:t>
      </w:r>
      <w:r>
        <w:rPr>
          <w:rFonts w:ascii="Times New Roman"/>
        </w:rPr>
        <w:t>≧0.8</w:t>
      </w:r>
      <w:r>
        <w:rPr>
          <w:rFonts w:ascii="Times New Roman"/>
        </w:rPr>
        <w:t>）、土壤</w:t>
      </w:r>
      <w:r>
        <w:rPr>
          <w:rFonts w:ascii="Times New Roman"/>
        </w:rPr>
        <w:t>pH</w:t>
      </w:r>
      <w:r>
        <w:rPr>
          <w:rFonts w:ascii="Times New Roman"/>
        </w:rPr>
        <w:t>值应为</w:t>
      </w:r>
      <w:r>
        <w:rPr>
          <w:rFonts w:ascii="Times New Roman"/>
        </w:rPr>
        <w:t>5.5</w:t>
      </w:r>
      <w:r>
        <w:rPr>
          <w:rFonts w:ascii="Times New Roman"/>
        </w:rPr>
        <w:t>～</w:t>
      </w:r>
      <w:r>
        <w:rPr>
          <w:rFonts w:ascii="Times New Roman"/>
        </w:rPr>
        <w:t>7.5</w:t>
      </w:r>
      <w:r>
        <w:rPr>
          <w:rFonts w:ascii="Times New Roman"/>
        </w:rPr>
        <w:t>，排水良好、有机质含量</w:t>
      </w:r>
      <w:r>
        <w:rPr>
          <w:rFonts w:ascii="Times New Roman"/>
        </w:rPr>
        <w:t>≥1.0%</w:t>
      </w:r>
      <w:r>
        <w:rPr>
          <w:rFonts w:ascii="Times New Roman"/>
        </w:rPr>
        <w:t>、地下水位在地表</w:t>
      </w:r>
      <w:r>
        <w:rPr>
          <w:rFonts w:ascii="Times New Roman"/>
        </w:rPr>
        <w:t>≥1 m</w:t>
      </w:r>
      <w:r>
        <w:rPr>
          <w:rFonts w:ascii="Times New Roman"/>
        </w:rPr>
        <w:t>、无重金属污染的地块。土壤环境质量应符合</w:t>
      </w:r>
      <w:r>
        <w:rPr>
          <w:rFonts w:ascii="Times New Roman"/>
        </w:rPr>
        <w:t>GB 15618-2018</w:t>
      </w:r>
      <w:r>
        <w:rPr>
          <w:rFonts w:ascii="Times New Roman"/>
        </w:rPr>
        <w:t>的要求。</w:t>
      </w:r>
    </w:p>
    <w:p w14:paraId="668930F3" w14:textId="77777777" w:rsidR="00E25607" w:rsidRDefault="00000000">
      <w:pPr>
        <w:pStyle w:val="affd"/>
        <w:numPr>
          <w:ilvl w:val="0"/>
          <w:numId w:val="0"/>
        </w:numPr>
        <w:spacing w:before="120" w:after="120"/>
      </w:pPr>
      <w:r>
        <w:rPr>
          <w:rFonts w:hint="eastAsia"/>
        </w:rPr>
        <w:t>4.1.4 产地环境</w:t>
      </w:r>
    </w:p>
    <w:p w14:paraId="3827B9A0" w14:textId="77777777" w:rsidR="00E25607" w:rsidRDefault="00000000">
      <w:pPr>
        <w:pStyle w:val="afffffa"/>
        <w:spacing w:beforeLines="50" w:before="120" w:afterLines="50" w:after="120"/>
        <w:ind w:firstLine="420"/>
        <w:rPr>
          <w:rFonts w:ascii="Times New Roman"/>
        </w:rPr>
      </w:pPr>
      <w:r>
        <w:rPr>
          <w:rFonts w:ascii="Times New Roman"/>
        </w:rPr>
        <w:t>产地环境应符合</w:t>
      </w:r>
      <w:r>
        <w:rPr>
          <w:rFonts w:ascii="Times New Roman"/>
        </w:rPr>
        <w:t>NY/T 391</w:t>
      </w:r>
      <w:r>
        <w:rPr>
          <w:rFonts w:ascii="Times New Roman"/>
        </w:rPr>
        <w:t>的要求。</w:t>
      </w:r>
    </w:p>
    <w:p w14:paraId="6708FB1A" w14:textId="77777777" w:rsidR="00E25607" w:rsidRDefault="00000000">
      <w:pPr>
        <w:pStyle w:val="affd"/>
        <w:numPr>
          <w:ilvl w:val="0"/>
          <w:numId w:val="0"/>
        </w:numPr>
        <w:spacing w:before="120" w:after="120"/>
      </w:pPr>
      <w:r>
        <w:rPr>
          <w:rFonts w:hint="eastAsia"/>
        </w:rPr>
        <w:t>4.1.5 灌溉条件</w:t>
      </w:r>
    </w:p>
    <w:p w14:paraId="5E95F553" w14:textId="77777777" w:rsidR="00E25607" w:rsidRDefault="00000000">
      <w:pPr>
        <w:pStyle w:val="afffffa"/>
        <w:spacing w:beforeLines="50" w:before="120" w:afterLines="50" w:after="120"/>
        <w:ind w:firstLine="420"/>
        <w:rPr>
          <w:rFonts w:ascii="Times New Roman"/>
        </w:rPr>
      </w:pPr>
      <w:r>
        <w:rPr>
          <w:rFonts w:ascii="Times New Roman"/>
        </w:rPr>
        <w:t>要求水源便利、充足、无污染，符合</w:t>
      </w:r>
      <w:r>
        <w:rPr>
          <w:rFonts w:ascii="Times New Roman"/>
        </w:rPr>
        <w:t xml:space="preserve"> GB 5084-2021 </w:t>
      </w:r>
      <w:r>
        <w:rPr>
          <w:rFonts w:ascii="Times New Roman"/>
        </w:rPr>
        <w:t>规定。</w:t>
      </w:r>
    </w:p>
    <w:p w14:paraId="39F16C09" w14:textId="77777777" w:rsidR="00E25607" w:rsidRDefault="00000000">
      <w:pPr>
        <w:pStyle w:val="affd"/>
        <w:numPr>
          <w:ilvl w:val="0"/>
          <w:numId w:val="0"/>
        </w:numPr>
        <w:spacing w:before="120" w:after="120"/>
      </w:pPr>
      <w:r>
        <w:rPr>
          <w:rFonts w:hint="eastAsia"/>
        </w:rPr>
        <w:t>4.2 园区规划</w:t>
      </w:r>
    </w:p>
    <w:p w14:paraId="7DCA6AE9" w14:textId="77777777" w:rsidR="00E25607" w:rsidRDefault="00000000">
      <w:pPr>
        <w:pStyle w:val="affd"/>
        <w:numPr>
          <w:ilvl w:val="0"/>
          <w:numId w:val="0"/>
        </w:numPr>
        <w:spacing w:before="120" w:after="120"/>
      </w:pPr>
      <w:r>
        <w:rPr>
          <w:rFonts w:hint="eastAsia"/>
        </w:rPr>
        <w:t>4.2.1 园区布置</w:t>
      </w:r>
    </w:p>
    <w:p w14:paraId="59745E16" w14:textId="77777777" w:rsidR="00E25607" w:rsidRDefault="00000000">
      <w:pPr>
        <w:pStyle w:val="afffffa"/>
        <w:spacing w:beforeLines="50" w:before="120" w:afterLines="50" w:after="120"/>
        <w:ind w:firstLine="420"/>
      </w:pPr>
      <w:r>
        <w:rPr>
          <w:rFonts w:ascii="Times New Roman"/>
        </w:rPr>
        <w:t>平地宜采用长方形栽植，栽植行为南北向；山地及丘陵地宜采用等高栽植，梯面宽</w:t>
      </w:r>
      <w:r>
        <w:rPr>
          <w:rFonts w:ascii="Times New Roman"/>
        </w:rPr>
        <w:t>3</w:t>
      </w:r>
      <w:r>
        <w:rPr>
          <w:rFonts w:ascii="Times New Roman"/>
        </w:rPr>
        <w:t>～</w:t>
      </w:r>
      <w:r>
        <w:rPr>
          <w:rFonts w:ascii="Times New Roman"/>
        </w:rPr>
        <w:t>4m</w:t>
      </w:r>
      <w:r>
        <w:rPr>
          <w:rFonts w:ascii="Times New Roman"/>
        </w:rPr>
        <w:t>，栽植行的行向与梯地走向相同；梯地水平走向应有</w:t>
      </w:r>
      <w:r>
        <w:rPr>
          <w:rFonts w:ascii="Times New Roman"/>
        </w:rPr>
        <w:t xml:space="preserve"> 3‰</w:t>
      </w:r>
      <w:r>
        <w:rPr>
          <w:rFonts w:ascii="Times New Roman"/>
        </w:rPr>
        <w:t>～</w:t>
      </w:r>
      <w:r>
        <w:rPr>
          <w:rFonts w:ascii="Times New Roman"/>
        </w:rPr>
        <w:t xml:space="preserve">5‰ </w:t>
      </w:r>
      <w:r>
        <w:rPr>
          <w:rFonts w:ascii="Times New Roman"/>
        </w:rPr>
        <w:t>的比降。</w:t>
      </w:r>
    </w:p>
    <w:p w14:paraId="604A4C21" w14:textId="77777777" w:rsidR="00E25607" w:rsidRDefault="00000000">
      <w:pPr>
        <w:pStyle w:val="affd"/>
        <w:numPr>
          <w:ilvl w:val="0"/>
          <w:numId w:val="0"/>
        </w:numPr>
        <w:spacing w:before="120" w:after="120"/>
      </w:pPr>
      <w:r>
        <w:rPr>
          <w:rFonts w:hint="eastAsia"/>
        </w:rPr>
        <w:t>4.2.2 基础设施</w:t>
      </w:r>
    </w:p>
    <w:p w14:paraId="1D577B89" w14:textId="77777777" w:rsidR="00E25607" w:rsidRDefault="00000000">
      <w:pPr>
        <w:pStyle w:val="affd"/>
        <w:numPr>
          <w:ilvl w:val="0"/>
          <w:numId w:val="0"/>
        </w:numPr>
        <w:spacing w:before="120" w:after="120"/>
      </w:pPr>
      <w:r>
        <w:rPr>
          <w:rFonts w:hint="eastAsia"/>
        </w:rPr>
        <w:t>4.2.2.1 道路系统</w:t>
      </w:r>
    </w:p>
    <w:p w14:paraId="402AFFAD" w14:textId="77777777" w:rsidR="00E25607" w:rsidRDefault="00000000">
      <w:pPr>
        <w:pStyle w:val="afffffa"/>
        <w:spacing w:beforeLines="50" w:before="120" w:afterLines="50" w:after="120"/>
        <w:ind w:firstLine="420"/>
      </w:pPr>
      <w:r>
        <w:rPr>
          <w:rFonts w:hint="eastAsia"/>
        </w:rPr>
        <w:t>道路系统包括主干道、支干道和作业道。主干道与公路相通，支干道与主干道相连，作业道与支干道相连，并贯穿整个果园。</w:t>
      </w:r>
    </w:p>
    <w:p w14:paraId="4C9F5F92" w14:textId="77777777" w:rsidR="00E25607" w:rsidRDefault="00000000">
      <w:pPr>
        <w:pStyle w:val="affd"/>
        <w:numPr>
          <w:ilvl w:val="0"/>
          <w:numId w:val="0"/>
        </w:numPr>
        <w:spacing w:before="120" w:after="120"/>
      </w:pPr>
      <w:r>
        <w:rPr>
          <w:rFonts w:hint="eastAsia"/>
        </w:rPr>
        <w:t>4.2.2.2 排灌系统</w:t>
      </w:r>
    </w:p>
    <w:p w14:paraId="19224812" w14:textId="77777777" w:rsidR="00E25607" w:rsidRDefault="00000000">
      <w:pPr>
        <w:pStyle w:val="afffffa"/>
        <w:spacing w:beforeLines="50" w:before="120" w:afterLines="50" w:after="120"/>
        <w:ind w:firstLine="420"/>
      </w:pPr>
      <w:r>
        <w:rPr>
          <w:rFonts w:hint="eastAsia"/>
        </w:rPr>
        <w:t>果园内应修建蓄水池、排灌沟渠等，道路两侧修建排水沟。具备条件的可以建设喷灌、滴灌系统。山地果园由山顶到山脚，排水沟由浅到深，以便排灌。</w:t>
      </w:r>
    </w:p>
    <w:p w14:paraId="5333A0D2" w14:textId="77777777" w:rsidR="00E25607" w:rsidRDefault="00000000">
      <w:pPr>
        <w:pStyle w:val="affd"/>
        <w:numPr>
          <w:ilvl w:val="0"/>
          <w:numId w:val="0"/>
        </w:numPr>
        <w:spacing w:before="120" w:after="120"/>
      </w:pPr>
      <w:r>
        <w:rPr>
          <w:rFonts w:hint="eastAsia"/>
        </w:rPr>
        <w:t>4.2.2.3 仓储设施</w:t>
      </w:r>
    </w:p>
    <w:p w14:paraId="7EAD80A9" w14:textId="77777777" w:rsidR="00E25607" w:rsidRDefault="00000000">
      <w:pPr>
        <w:pStyle w:val="afffffa"/>
        <w:spacing w:beforeLines="50" w:before="120" w:afterLines="50" w:after="120"/>
        <w:ind w:firstLine="420"/>
      </w:pPr>
      <w:r>
        <w:rPr>
          <w:rFonts w:hint="eastAsia"/>
        </w:rPr>
        <w:t>果园应建设一定面积的仓库，用以果园看护、农资储放等。</w:t>
      </w:r>
    </w:p>
    <w:p w14:paraId="612DD492" w14:textId="77777777" w:rsidR="00E25607" w:rsidRDefault="00000000">
      <w:pPr>
        <w:pStyle w:val="affd"/>
        <w:numPr>
          <w:ilvl w:val="0"/>
          <w:numId w:val="0"/>
        </w:numPr>
        <w:spacing w:before="120" w:after="120"/>
      </w:pPr>
      <w:r>
        <w:rPr>
          <w:rFonts w:hint="eastAsia"/>
        </w:rPr>
        <w:t>5 园区建设</w:t>
      </w:r>
    </w:p>
    <w:p w14:paraId="3640C493" w14:textId="77777777" w:rsidR="00E25607" w:rsidRDefault="00000000">
      <w:pPr>
        <w:pStyle w:val="affd"/>
        <w:numPr>
          <w:ilvl w:val="0"/>
          <w:numId w:val="0"/>
        </w:numPr>
        <w:spacing w:before="120" w:after="120"/>
      </w:pPr>
      <w:r>
        <w:rPr>
          <w:rFonts w:hint="eastAsia"/>
        </w:rPr>
        <w:t>5.1 园地整治</w:t>
      </w:r>
    </w:p>
    <w:p w14:paraId="6DC20594" w14:textId="77777777" w:rsidR="00E25607" w:rsidRDefault="00000000">
      <w:pPr>
        <w:pStyle w:val="afffffa"/>
        <w:spacing w:beforeLines="50" w:before="120" w:afterLines="50" w:after="120"/>
        <w:ind w:firstLine="420"/>
        <w:rPr>
          <w:rFonts w:ascii="Times New Roman"/>
        </w:rPr>
      </w:pPr>
      <w:r>
        <w:rPr>
          <w:rFonts w:ascii="Times New Roman"/>
        </w:rPr>
        <w:t>采用机械整地，沿栽植行翻耕</w:t>
      </w:r>
      <w:r>
        <w:rPr>
          <w:rFonts w:ascii="Times New Roman"/>
        </w:rPr>
        <w:t>2</w:t>
      </w:r>
      <w:r>
        <w:rPr>
          <w:rFonts w:ascii="Times New Roman"/>
        </w:rPr>
        <w:t>次～</w:t>
      </w:r>
      <w:r>
        <w:rPr>
          <w:rFonts w:ascii="Times New Roman"/>
        </w:rPr>
        <w:t>3</w:t>
      </w:r>
      <w:r>
        <w:rPr>
          <w:rFonts w:ascii="Times New Roman"/>
        </w:rPr>
        <w:t>次，深达</w:t>
      </w:r>
      <w:r>
        <w:rPr>
          <w:rFonts w:ascii="Times New Roman"/>
        </w:rPr>
        <w:t>30 cm</w:t>
      </w:r>
      <w:r>
        <w:rPr>
          <w:rFonts w:ascii="Times New Roman"/>
        </w:rPr>
        <w:t>～</w:t>
      </w:r>
      <w:r>
        <w:rPr>
          <w:rFonts w:ascii="Times New Roman"/>
        </w:rPr>
        <w:t>60 cm</w:t>
      </w:r>
      <w:r>
        <w:rPr>
          <w:rFonts w:ascii="Times New Roman"/>
        </w:rPr>
        <w:t>左右，施肥后再覆土旋耕，以栽植行为中心，顺势起垄（垄高</w:t>
      </w:r>
      <w:r>
        <w:rPr>
          <w:rFonts w:ascii="Times New Roman"/>
        </w:rPr>
        <w:t>20 cm</w:t>
      </w:r>
      <w:r>
        <w:rPr>
          <w:rFonts w:ascii="Times New Roman"/>
        </w:rPr>
        <w:t>～</w:t>
      </w:r>
      <w:r>
        <w:rPr>
          <w:rFonts w:ascii="Times New Roman"/>
        </w:rPr>
        <w:t>30 cm</w:t>
      </w:r>
      <w:r>
        <w:rPr>
          <w:rFonts w:ascii="Times New Roman"/>
        </w:rPr>
        <w:t>，垄宽</w:t>
      </w:r>
      <w:r>
        <w:rPr>
          <w:rFonts w:ascii="Times New Roman"/>
        </w:rPr>
        <w:t>120 cm</w:t>
      </w:r>
      <w:r>
        <w:rPr>
          <w:rFonts w:ascii="Times New Roman"/>
        </w:rPr>
        <w:t>～</w:t>
      </w:r>
      <w:r>
        <w:rPr>
          <w:rFonts w:ascii="Times New Roman"/>
        </w:rPr>
        <w:t>150 cm</w:t>
      </w:r>
      <w:r>
        <w:rPr>
          <w:rFonts w:ascii="Times New Roman"/>
        </w:rPr>
        <w:t>），采用长方形栽植，栽植行为南北向。山地、丘陵地实行等高栽植。</w:t>
      </w:r>
    </w:p>
    <w:p w14:paraId="475CF839" w14:textId="77777777" w:rsidR="00E25607" w:rsidRDefault="00000000">
      <w:pPr>
        <w:pStyle w:val="affd"/>
        <w:numPr>
          <w:ilvl w:val="0"/>
          <w:numId w:val="0"/>
        </w:numPr>
        <w:spacing w:before="120" w:after="120"/>
      </w:pPr>
      <w:r>
        <w:rPr>
          <w:rFonts w:hint="eastAsia"/>
        </w:rPr>
        <w:t>5.2 设施搭建</w:t>
      </w:r>
    </w:p>
    <w:p w14:paraId="54AB8D7B" w14:textId="77777777" w:rsidR="00E25607" w:rsidRDefault="00000000">
      <w:pPr>
        <w:pStyle w:val="affd"/>
        <w:numPr>
          <w:ilvl w:val="0"/>
          <w:numId w:val="0"/>
        </w:numPr>
        <w:spacing w:before="120" w:after="120"/>
      </w:pPr>
      <w:r>
        <w:rPr>
          <w:rFonts w:hint="eastAsia"/>
        </w:rPr>
        <w:t>5.2.1 水电设施</w:t>
      </w:r>
    </w:p>
    <w:p w14:paraId="545F7B4D" w14:textId="77777777" w:rsidR="00E25607" w:rsidRDefault="00000000">
      <w:pPr>
        <w:pStyle w:val="afffffa"/>
        <w:spacing w:beforeLines="50" w:before="120" w:afterLines="50" w:after="120"/>
        <w:ind w:firstLine="420"/>
      </w:pPr>
      <w:r>
        <w:rPr>
          <w:rFonts w:hint="eastAsia"/>
        </w:rPr>
        <w:t>园区内应及时配置好水电系统。</w:t>
      </w:r>
    </w:p>
    <w:p w14:paraId="6E0A2E15" w14:textId="77777777" w:rsidR="00E25607" w:rsidRDefault="00000000">
      <w:pPr>
        <w:pStyle w:val="affd"/>
        <w:numPr>
          <w:ilvl w:val="0"/>
          <w:numId w:val="0"/>
        </w:numPr>
        <w:spacing w:before="120" w:after="120"/>
      </w:pPr>
      <w:r>
        <w:rPr>
          <w:rFonts w:hint="eastAsia"/>
        </w:rPr>
        <w:t>5.2.2 道路硬化</w:t>
      </w:r>
    </w:p>
    <w:p w14:paraId="1796D82A" w14:textId="77777777" w:rsidR="00E25607" w:rsidRDefault="00000000">
      <w:pPr>
        <w:pStyle w:val="afffffa"/>
        <w:spacing w:beforeLines="50" w:before="120" w:afterLines="50" w:after="120"/>
        <w:ind w:firstLine="420"/>
      </w:pPr>
      <w:r>
        <w:rPr>
          <w:rFonts w:hint="eastAsia"/>
        </w:rPr>
        <w:t>硬化主干道、支干道和作业道，确保农资和果园产出的运输以及田间作业。</w:t>
      </w:r>
    </w:p>
    <w:p w14:paraId="10EF728A" w14:textId="77777777" w:rsidR="00E25607" w:rsidRDefault="00000000">
      <w:pPr>
        <w:pStyle w:val="affd"/>
        <w:numPr>
          <w:ilvl w:val="0"/>
          <w:numId w:val="0"/>
        </w:numPr>
        <w:spacing w:before="120" w:after="120"/>
      </w:pPr>
      <w:r>
        <w:rPr>
          <w:rFonts w:hint="eastAsia"/>
        </w:rPr>
        <w:t>5.2.3 肥水系统</w:t>
      </w:r>
    </w:p>
    <w:p w14:paraId="4D09E336" w14:textId="77777777" w:rsidR="00E25607" w:rsidRDefault="00000000">
      <w:pPr>
        <w:pStyle w:val="afffffa"/>
        <w:spacing w:beforeLines="50" w:before="120" w:afterLines="50" w:after="120"/>
        <w:ind w:firstLine="420"/>
      </w:pPr>
      <w:r>
        <w:rPr>
          <w:rFonts w:hint="eastAsia"/>
        </w:rPr>
        <w:t>修建蓄水池、泵房，购置水泵、过滤器等设施，搭建肥水一体化系统。干旱地区每公顷修建50 m3蓄水池。</w:t>
      </w:r>
    </w:p>
    <w:p w14:paraId="0F5E689C" w14:textId="77777777" w:rsidR="00E25607" w:rsidRDefault="00000000">
      <w:pPr>
        <w:pStyle w:val="affd"/>
        <w:numPr>
          <w:ilvl w:val="0"/>
          <w:numId w:val="0"/>
        </w:numPr>
        <w:spacing w:before="120" w:after="120"/>
      </w:pPr>
      <w:r>
        <w:rPr>
          <w:rFonts w:hint="eastAsia"/>
        </w:rPr>
        <w:t>5.2.4 库房建设</w:t>
      </w:r>
    </w:p>
    <w:p w14:paraId="33DFE1EB" w14:textId="77777777" w:rsidR="00E25607" w:rsidRDefault="00000000">
      <w:pPr>
        <w:pStyle w:val="afffffa"/>
        <w:spacing w:beforeLines="50" w:before="120" w:afterLines="50" w:after="120"/>
        <w:ind w:firstLine="420"/>
      </w:pPr>
      <w:r>
        <w:rPr>
          <w:rFonts w:hint="eastAsia"/>
        </w:rPr>
        <w:t>修建一定面积的库房，用以果园看护、农资和果园产出储放等。</w:t>
      </w:r>
    </w:p>
    <w:p w14:paraId="2EEAC585" w14:textId="77777777" w:rsidR="00E25607" w:rsidRDefault="00000000">
      <w:pPr>
        <w:pStyle w:val="affd"/>
        <w:numPr>
          <w:ilvl w:val="0"/>
          <w:numId w:val="0"/>
        </w:numPr>
        <w:spacing w:before="120" w:after="120"/>
      </w:pPr>
      <w:r>
        <w:rPr>
          <w:rFonts w:hint="eastAsia"/>
        </w:rPr>
        <w:t>5.3 苗木定植</w:t>
      </w:r>
    </w:p>
    <w:p w14:paraId="7FA84E4A" w14:textId="77777777" w:rsidR="00E25607" w:rsidRDefault="00000000">
      <w:pPr>
        <w:pStyle w:val="affd"/>
        <w:numPr>
          <w:ilvl w:val="0"/>
          <w:numId w:val="0"/>
        </w:numPr>
        <w:spacing w:before="120" w:after="120"/>
      </w:pPr>
      <w:r>
        <w:rPr>
          <w:rFonts w:hint="eastAsia"/>
        </w:rPr>
        <w:lastRenderedPageBreak/>
        <w:t>5.3.1 苗木</w:t>
      </w:r>
    </w:p>
    <w:p w14:paraId="76D057F4" w14:textId="77777777" w:rsidR="00E25607" w:rsidRDefault="00000000">
      <w:pPr>
        <w:pStyle w:val="afffffa"/>
        <w:spacing w:beforeLines="50" w:before="120" w:afterLines="50" w:after="120"/>
        <w:ind w:firstLine="420"/>
      </w:pPr>
      <w:r>
        <w:rPr>
          <w:rFonts w:hint="eastAsia"/>
        </w:rPr>
        <w:t>使用植株健壮、无检疫性病虫害的种苗，苗木质量应符合第一部分的要求。</w:t>
      </w:r>
    </w:p>
    <w:p w14:paraId="31CB1B36" w14:textId="77777777" w:rsidR="00E25607" w:rsidRDefault="00000000">
      <w:pPr>
        <w:pStyle w:val="affd"/>
        <w:numPr>
          <w:ilvl w:val="0"/>
          <w:numId w:val="0"/>
        </w:numPr>
        <w:spacing w:before="120" w:after="120"/>
      </w:pPr>
      <w:r>
        <w:rPr>
          <w:rFonts w:hint="eastAsia"/>
        </w:rPr>
        <w:t>5.3.2 定植</w:t>
      </w:r>
    </w:p>
    <w:p w14:paraId="57DFABED" w14:textId="77777777" w:rsidR="00E25607" w:rsidRDefault="00000000">
      <w:pPr>
        <w:pStyle w:val="affd"/>
        <w:numPr>
          <w:ilvl w:val="0"/>
          <w:numId w:val="0"/>
        </w:numPr>
        <w:spacing w:before="120" w:after="120"/>
      </w:pPr>
      <w:r>
        <w:rPr>
          <w:rFonts w:hint="eastAsia"/>
        </w:rPr>
        <w:t>5.3.2.1 定植时间</w:t>
      </w:r>
    </w:p>
    <w:p w14:paraId="3AD37D9D" w14:textId="77777777" w:rsidR="00E25607" w:rsidRDefault="00000000">
      <w:pPr>
        <w:pStyle w:val="afffffa"/>
        <w:spacing w:beforeLines="50" w:before="120" w:afterLines="50" w:after="120"/>
        <w:ind w:firstLine="420"/>
        <w:rPr>
          <w:rFonts w:ascii="Times New Roman"/>
        </w:rPr>
      </w:pPr>
      <w:r>
        <w:rPr>
          <w:rFonts w:ascii="Times New Roman"/>
        </w:rPr>
        <w:t>裸根苗于</w:t>
      </w:r>
      <w:r>
        <w:rPr>
          <w:rFonts w:ascii="Times New Roman"/>
        </w:rPr>
        <w:t>10</w:t>
      </w:r>
      <w:r>
        <w:rPr>
          <w:rFonts w:ascii="Times New Roman"/>
        </w:rPr>
        <w:t>月中下旬或</w:t>
      </w:r>
      <w:r>
        <w:rPr>
          <w:rFonts w:ascii="Times New Roman"/>
        </w:rPr>
        <w:t>2</w:t>
      </w:r>
      <w:r>
        <w:rPr>
          <w:rFonts w:ascii="Times New Roman"/>
        </w:rPr>
        <w:t>月中旬至</w:t>
      </w:r>
      <w:r>
        <w:rPr>
          <w:rFonts w:ascii="Times New Roman"/>
        </w:rPr>
        <w:t>3</w:t>
      </w:r>
      <w:r>
        <w:rPr>
          <w:rFonts w:ascii="Times New Roman"/>
        </w:rPr>
        <w:t>月中旬种植为宜。有灌溉设施的，其它季节也可定植。容器苗周年均可定植。</w:t>
      </w:r>
    </w:p>
    <w:p w14:paraId="5E86B3B2" w14:textId="77777777" w:rsidR="00E25607" w:rsidRDefault="00000000">
      <w:pPr>
        <w:pStyle w:val="affd"/>
        <w:numPr>
          <w:ilvl w:val="0"/>
          <w:numId w:val="0"/>
        </w:numPr>
        <w:spacing w:before="120" w:after="120"/>
      </w:pPr>
      <w:r>
        <w:rPr>
          <w:rFonts w:hint="eastAsia"/>
        </w:rPr>
        <w:t>5.3.2.2 山地定植</w:t>
      </w:r>
    </w:p>
    <w:p w14:paraId="70A88E53" w14:textId="77777777" w:rsidR="00E25607" w:rsidRDefault="00000000">
      <w:pPr>
        <w:pStyle w:val="afffffa"/>
        <w:spacing w:beforeLines="50" w:before="120" w:afterLines="50" w:after="120"/>
        <w:ind w:firstLine="420"/>
        <w:rPr>
          <w:rFonts w:ascii="Times New Roman"/>
        </w:rPr>
      </w:pPr>
      <w:r>
        <w:rPr>
          <w:rFonts w:ascii="Times New Roman"/>
        </w:rPr>
        <w:t>山地应筑梯地，梯地梯面宽应在</w:t>
      </w:r>
      <w:r>
        <w:rPr>
          <w:rFonts w:ascii="Times New Roman"/>
        </w:rPr>
        <w:t>3 m</w:t>
      </w:r>
      <w:r>
        <w:rPr>
          <w:rFonts w:ascii="Times New Roman"/>
        </w:rPr>
        <w:t>以上，定植沟，宽</w:t>
      </w:r>
      <w:r>
        <w:rPr>
          <w:rFonts w:ascii="Times New Roman"/>
        </w:rPr>
        <w:t>0.8 m</w:t>
      </w:r>
      <w:r>
        <w:rPr>
          <w:rFonts w:ascii="Times New Roman"/>
        </w:rPr>
        <w:t>、深</w:t>
      </w:r>
      <w:r>
        <w:rPr>
          <w:rFonts w:ascii="Times New Roman"/>
        </w:rPr>
        <w:t>0.6 m</w:t>
      </w:r>
      <w:r>
        <w:rPr>
          <w:rFonts w:ascii="Times New Roman"/>
        </w:rPr>
        <w:t>为宜，后覆土填实，高出地面</w:t>
      </w:r>
      <w:r>
        <w:rPr>
          <w:rFonts w:ascii="Times New Roman"/>
        </w:rPr>
        <w:t>15</w:t>
      </w:r>
      <w:r>
        <w:rPr>
          <w:rFonts w:ascii="Times New Roman"/>
        </w:rPr>
        <w:t>～</w:t>
      </w:r>
      <w:r>
        <w:rPr>
          <w:rFonts w:ascii="Times New Roman"/>
        </w:rPr>
        <w:t>20 cm</w:t>
      </w:r>
      <w:r>
        <w:rPr>
          <w:rFonts w:ascii="Times New Roman"/>
        </w:rPr>
        <w:t>。</w:t>
      </w:r>
    </w:p>
    <w:p w14:paraId="0D68FE1E" w14:textId="77777777" w:rsidR="00E25607" w:rsidRDefault="00000000">
      <w:pPr>
        <w:pStyle w:val="affd"/>
        <w:numPr>
          <w:ilvl w:val="0"/>
          <w:numId w:val="0"/>
        </w:numPr>
        <w:spacing w:before="120" w:after="120"/>
      </w:pPr>
      <w:r>
        <w:rPr>
          <w:rFonts w:hint="eastAsia"/>
        </w:rPr>
        <w:t>5.3.2.3 平地定植</w:t>
      </w:r>
    </w:p>
    <w:p w14:paraId="0FE97109" w14:textId="77777777" w:rsidR="00E25607" w:rsidRDefault="00000000">
      <w:pPr>
        <w:pStyle w:val="afffffa"/>
        <w:spacing w:beforeLines="50" w:before="120" w:afterLines="50" w:after="120"/>
        <w:ind w:firstLine="420"/>
        <w:rPr>
          <w:rFonts w:ascii="Times New Roman"/>
        </w:rPr>
      </w:pPr>
      <w:r>
        <w:rPr>
          <w:rFonts w:ascii="Times New Roman"/>
        </w:rPr>
        <w:t>平地可挖穴定植，定植穴长宽各</w:t>
      </w:r>
      <w:r>
        <w:rPr>
          <w:rFonts w:ascii="Times New Roman"/>
        </w:rPr>
        <w:t>0.8 m</w:t>
      </w:r>
      <w:r>
        <w:rPr>
          <w:rFonts w:ascii="Times New Roman"/>
        </w:rPr>
        <w:t>，深</w:t>
      </w:r>
      <w:r>
        <w:rPr>
          <w:rFonts w:ascii="Times New Roman"/>
        </w:rPr>
        <w:t>0.6 m</w:t>
      </w:r>
      <w:r>
        <w:rPr>
          <w:rFonts w:ascii="Times New Roman"/>
        </w:rPr>
        <w:t>以上，穴内分层施栏肥等有机肥</w:t>
      </w:r>
      <w:r>
        <w:rPr>
          <w:rFonts w:ascii="Times New Roman"/>
        </w:rPr>
        <w:t>10</w:t>
      </w:r>
      <w:r>
        <w:rPr>
          <w:rFonts w:ascii="Times New Roman"/>
        </w:rPr>
        <w:t>～</w:t>
      </w:r>
      <w:r>
        <w:rPr>
          <w:rFonts w:ascii="Times New Roman"/>
        </w:rPr>
        <w:t>30 kg</w:t>
      </w:r>
      <w:r>
        <w:rPr>
          <w:rFonts w:ascii="Times New Roman"/>
        </w:rPr>
        <w:t>。</w:t>
      </w:r>
    </w:p>
    <w:p w14:paraId="09A21939" w14:textId="77777777" w:rsidR="00E25607" w:rsidRDefault="00000000">
      <w:pPr>
        <w:pStyle w:val="affd"/>
        <w:numPr>
          <w:ilvl w:val="0"/>
          <w:numId w:val="0"/>
        </w:numPr>
        <w:spacing w:before="120" w:after="120"/>
      </w:pPr>
      <w:r>
        <w:rPr>
          <w:rFonts w:hint="eastAsia"/>
        </w:rPr>
        <w:t>5.3.2.4 定植密度</w:t>
      </w:r>
    </w:p>
    <w:p w14:paraId="2AAE66F7" w14:textId="77777777" w:rsidR="00E25607" w:rsidRDefault="00000000">
      <w:pPr>
        <w:pStyle w:val="afffffa"/>
        <w:spacing w:beforeLines="50" w:before="120" w:afterLines="50" w:after="120"/>
        <w:ind w:firstLine="420"/>
        <w:rPr>
          <w:rFonts w:ascii="Times New Roman"/>
        </w:rPr>
      </w:pPr>
      <w:r>
        <w:rPr>
          <w:rFonts w:ascii="Times New Roman"/>
        </w:rPr>
        <w:t>山地株行距（</w:t>
      </w:r>
      <w:r>
        <w:rPr>
          <w:rFonts w:ascii="Times New Roman"/>
        </w:rPr>
        <w:t>2.0</w:t>
      </w:r>
      <w:r>
        <w:rPr>
          <w:rFonts w:ascii="Times New Roman"/>
        </w:rPr>
        <w:t>～</w:t>
      </w:r>
      <w:r>
        <w:rPr>
          <w:rFonts w:ascii="Times New Roman"/>
        </w:rPr>
        <w:t>3.0</w:t>
      </w:r>
      <w:r>
        <w:rPr>
          <w:rFonts w:ascii="Times New Roman"/>
        </w:rPr>
        <w:t>）</w:t>
      </w:r>
      <w:r>
        <w:rPr>
          <w:rFonts w:ascii="Times New Roman"/>
        </w:rPr>
        <w:t>m×4.0 m</w:t>
      </w:r>
      <w:r>
        <w:rPr>
          <w:rFonts w:ascii="Times New Roman"/>
        </w:rPr>
        <w:t>，每亩（</w:t>
      </w:r>
      <w:r>
        <w:rPr>
          <w:rFonts w:ascii="Times New Roman"/>
        </w:rPr>
        <w:t>667 m</w:t>
      </w:r>
      <w:r>
        <w:rPr>
          <w:rFonts w:ascii="Times New Roman"/>
          <w:vertAlign w:val="superscript"/>
        </w:rPr>
        <w:t>2</w:t>
      </w:r>
      <w:r>
        <w:rPr>
          <w:rFonts w:ascii="Times New Roman"/>
        </w:rPr>
        <w:t>）栽植</w:t>
      </w:r>
      <w:r>
        <w:rPr>
          <w:rFonts w:ascii="Times New Roman"/>
        </w:rPr>
        <w:t>70</w:t>
      </w:r>
      <w:r>
        <w:rPr>
          <w:rFonts w:ascii="Times New Roman"/>
        </w:rPr>
        <w:t>株左右。</w:t>
      </w:r>
    </w:p>
    <w:p w14:paraId="7FB0E19A" w14:textId="77777777" w:rsidR="00E25607" w:rsidRDefault="00000000">
      <w:pPr>
        <w:pStyle w:val="afffffa"/>
        <w:spacing w:beforeLines="50" w:before="120" w:afterLines="50" w:after="120"/>
        <w:ind w:firstLine="420"/>
        <w:rPr>
          <w:rFonts w:ascii="Times New Roman"/>
        </w:rPr>
      </w:pPr>
      <w:r>
        <w:rPr>
          <w:rFonts w:ascii="Times New Roman"/>
        </w:rPr>
        <w:t>平地株行距</w:t>
      </w:r>
      <w:r>
        <w:rPr>
          <w:rFonts w:ascii="Times New Roman"/>
        </w:rPr>
        <w:t>3.0 m×4.0 m</w:t>
      </w:r>
      <w:r>
        <w:rPr>
          <w:rFonts w:ascii="Times New Roman"/>
        </w:rPr>
        <w:t>，每亩（</w:t>
      </w:r>
      <w:r>
        <w:rPr>
          <w:rFonts w:ascii="Times New Roman"/>
        </w:rPr>
        <w:t>667 m</w:t>
      </w:r>
      <w:r>
        <w:rPr>
          <w:rFonts w:ascii="Times New Roman"/>
          <w:vertAlign w:val="superscript"/>
        </w:rPr>
        <w:t>2</w:t>
      </w:r>
      <w:r>
        <w:rPr>
          <w:rFonts w:ascii="Times New Roman"/>
        </w:rPr>
        <w:t>）栽植</w:t>
      </w:r>
      <w:r>
        <w:rPr>
          <w:rFonts w:ascii="Times New Roman"/>
        </w:rPr>
        <w:t>55</w:t>
      </w:r>
      <w:r>
        <w:rPr>
          <w:rFonts w:ascii="Times New Roman"/>
        </w:rPr>
        <w:t>株左右。</w:t>
      </w:r>
    </w:p>
    <w:p w14:paraId="3FCBC2E9" w14:textId="77777777" w:rsidR="00E25607" w:rsidRDefault="00000000">
      <w:pPr>
        <w:pStyle w:val="affd"/>
        <w:numPr>
          <w:ilvl w:val="0"/>
          <w:numId w:val="0"/>
        </w:numPr>
        <w:spacing w:before="120" w:after="120"/>
      </w:pPr>
      <w:r>
        <w:rPr>
          <w:rFonts w:hint="eastAsia"/>
        </w:rPr>
        <w:t>6 栽培管理</w:t>
      </w:r>
    </w:p>
    <w:p w14:paraId="07014921" w14:textId="77777777" w:rsidR="00E25607" w:rsidRDefault="00000000">
      <w:pPr>
        <w:pStyle w:val="affd"/>
        <w:numPr>
          <w:ilvl w:val="0"/>
          <w:numId w:val="0"/>
        </w:numPr>
        <w:spacing w:before="120" w:after="120"/>
      </w:pPr>
      <w:r>
        <w:rPr>
          <w:rFonts w:hint="eastAsia"/>
        </w:rPr>
        <w:t xml:space="preserve">6.1 土壤管理 </w:t>
      </w:r>
    </w:p>
    <w:p w14:paraId="575F1A5A" w14:textId="77777777" w:rsidR="00E25607" w:rsidRDefault="00000000">
      <w:pPr>
        <w:pStyle w:val="afffffa"/>
        <w:spacing w:beforeLines="50" w:before="120" w:afterLines="50" w:after="120"/>
        <w:ind w:firstLineChars="0" w:firstLine="0"/>
        <w:rPr>
          <w:rFonts w:ascii="黑体" w:eastAsia="黑体"/>
        </w:rPr>
      </w:pPr>
      <w:r>
        <w:rPr>
          <w:rFonts w:ascii="黑体" w:eastAsia="黑体" w:hint="eastAsia"/>
        </w:rPr>
        <w:t>6.1.1 有机质改土</w:t>
      </w:r>
    </w:p>
    <w:p w14:paraId="7682E4B4" w14:textId="77777777" w:rsidR="00E25607" w:rsidRDefault="00000000">
      <w:pPr>
        <w:pStyle w:val="afffffa"/>
        <w:spacing w:beforeLines="50" w:before="120" w:afterLines="50" w:after="120"/>
        <w:ind w:firstLine="420"/>
        <w:rPr>
          <w:rFonts w:ascii="Times New Roman"/>
        </w:rPr>
      </w:pPr>
      <w:r>
        <w:rPr>
          <w:rFonts w:ascii="Times New Roman"/>
        </w:rPr>
        <w:t>对土质粘性重或砂性重的果园，通过喷施水溶性有机肥或开沟埋施有机肥等方式，逐步改土。施用的有机肥应符合</w:t>
      </w:r>
      <w:r>
        <w:rPr>
          <w:rFonts w:ascii="Times New Roman"/>
        </w:rPr>
        <w:t>NY/T 394-2021</w:t>
      </w:r>
      <w:r>
        <w:rPr>
          <w:rFonts w:ascii="Times New Roman"/>
        </w:rPr>
        <w:t>标准。</w:t>
      </w:r>
    </w:p>
    <w:p w14:paraId="168CD0D1" w14:textId="77777777" w:rsidR="00E25607" w:rsidRDefault="00000000">
      <w:pPr>
        <w:pStyle w:val="afffffa"/>
        <w:spacing w:beforeLines="50" w:before="120" w:afterLines="50" w:after="120"/>
        <w:ind w:firstLineChars="0" w:firstLine="0"/>
        <w:rPr>
          <w:rFonts w:ascii="黑体" w:eastAsia="黑体"/>
        </w:rPr>
      </w:pPr>
      <w:r>
        <w:rPr>
          <w:rFonts w:ascii="黑体" w:eastAsia="黑体" w:hint="eastAsia"/>
        </w:rPr>
        <w:t xml:space="preserve">6.1.2 间作或生草 </w:t>
      </w:r>
    </w:p>
    <w:p w14:paraId="3333AC7B" w14:textId="77777777" w:rsidR="00E25607" w:rsidRDefault="00000000">
      <w:pPr>
        <w:pStyle w:val="afffffa"/>
        <w:spacing w:beforeLines="50" w:before="120" w:afterLines="50" w:after="120"/>
        <w:ind w:firstLine="420"/>
      </w:pPr>
      <w:r>
        <w:rPr>
          <w:rFonts w:hint="eastAsia"/>
        </w:rPr>
        <w:t>香水柠檬园宜实行生草制，行间间作浅根、矮杆的豆科植物、紫花苜蓿等绿肥。间作物、草类应与香水柠檬无共生性病虫，忌藤蔓、高杆和块茎类作物。</w:t>
      </w:r>
    </w:p>
    <w:p w14:paraId="606CBA41" w14:textId="77777777" w:rsidR="00E25607" w:rsidRDefault="00000000">
      <w:pPr>
        <w:pStyle w:val="afffffa"/>
        <w:spacing w:beforeLines="50" w:before="120" w:afterLines="50" w:after="120"/>
        <w:ind w:firstLineChars="0" w:firstLine="0"/>
        <w:rPr>
          <w:rFonts w:ascii="黑体" w:eastAsia="黑体"/>
        </w:rPr>
      </w:pPr>
      <w:r>
        <w:rPr>
          <w:rFonts w:ascii="黑体" w:eastAsia="黑体" w:hint="eastAsia"/>
        </w:rPr>
        <w:t>6.2 施肥</w:t>
      </w:r>
    </w:p>
    <w:p w14:paraId="46324C12" w14:textId="77777777" w:rsidR="00E25607" w:rsidRDefault="00000000">
      <w:pPr>
        <w:pStyle w:val="afffffa"/>
        <w:spacing w:beforeLines="50" w:before="120" w:afterLines="50" w:after="120"/>
        <w:ind w:firstLineChars="0" w:firstLine="0"/>
        <w:rPr>
          <w:rFonts w:ascii="黑体" w:eastAsia="黑体"/>
        </w:rPr>
      </w:pPr>
      <w:r>
        <w:rPr>
          <w:rFonts w:ascii="黑体" w:eastAsia="黑体" w:hint="eastAsia"/>
        </w:rPr>
        <w:t>6.2.1 原则</w:t>
      </w:r>
    </w:p>
    <w:p w14:paraId="129D1D11" w14:textId="77777777" w:rsidR="00E25607" w:rsidRDefault="00000000">
      <w:pPr>
        <w:pStyle w:val="afffffa"/>
        <w:spacing w:beforeLines="50" w:before="120" w:afterLines="50" w:after="120"/>
        <w:ind w:firstLine="420"/>
        <w:rPr>
          <w:rFonts w:ascii="Times New Roman"/>
        </w:rPr>
      </w:pPr>
      <w:r>
        <w:rPr>
          <w:rFonts w:ascii="Times New Roman"/>
        </w:rPr>
        <w:t>肥料的使用方法应符合</w:t>
      </w:r>
      <w:r>
        <w:rPr>
          <w:rFonts w:ascii="Times New Roman"/>
        </w:rPr>
        <w:t>NY/T 394 2021</w:t>
      </w:r>
      <w:r>
        <w:rPr>
          <w:rFonts w:ascii="Times New Roman"/>
        </w:rPr>
        <w:t>规定。以有机肥施用为主，合理施用化肥，有针对性补充中、微量元素肥料。</w:t>
      </w:r>
    </w:p>
    <w:p w14:paraId="3070D671" w14:textId="77777777" w:rsidR="00E25607" w:rsidRDefault="00000000">
      <w:pPr>
        <w:pStyle w:val="afffffa"/>
        <w:spacing w:beforeLines="50" w:before="120" w:afterLines="50" w:after="120"/>
        <w:ind w:firstLineChars="0" w:firstLine="0"/>
        <w:rPr>
          <w:rFonts w:ascii="黑体" w:eastAsia="黑体"/>
        </w:rPr>
      </w:pPr>
      <w:r>
        <w:rPr>
          <w:rFonts w:ascii="黑体" w:eastAsia="黑体" w:hint="eastAsia"/>
        </w:rPr>
        <w:t>6.2.2 方法</w:t>
      </w:r>
    </w:p>
    <w:p w14:paraId="73DF688A" w14:textId="77777777" w:rsidR="00E25607" w:rsidRDefault="00000000">
      <w:pPr>
        <w:pStyle w:val="afffffa"/>
        <w:spacing w:beforeLines="50" w:before="120" w:afterLines="50" w:after="120"/>
        <w:ind w:firstLine="420"/>
      </w:pPr>
      <w:r>
        <w:rPr>
          <w:rFonts w:hint="eastAsia"/>
        </w:rPr>
        <w:t>用穴施、沟施和根外追肥等方法。在树冠滴水线外侧挖穴（沟），深度见须根群（20 cm～40 cm）。东西、南北对称轮换位置施，施肥后及时覆土。有肥水一体化设施的直接喷施。遵循“勤施薄施、少量多次”的原则。</w:t>
      </w:r>
    </w:p>
    <w:p w14:paraId="5CBA7EE0" w14:textId="77777777" w:rsidR="00E25607" w:rsidRDefault="00000000">
      <w:pPr>
        <w:pStyle w:val="afffffa"/>
        <w:spacing w:beforeLines="50" w:before="120" w:afterLines="50" w:after="120"/>
        <w:ind w:firstLineChars="0" w:firstLine="0"/>
        <w:rPr>
          <w:rFonts w:ascii="黑体" w:eastAsia="黑体"/>
        </w:rPr>
      </w:pPr>
      <w:r>
        <w:rPr>
          <w:rFonts w:ascii="黑体" w:eastAsia="黑体" w:hint="eastAsia"/>
        </w:rPr>
        <w:t>6.2.2.1 幼龄树</w:t>
      </w:r>
    </w:p>
    <w:p w14:paraId="79A2443E" w14:textId="77777777" w:rsidR="00E25607" w:rsidRDefault="00000000">
      <w:pPr>
        <w:pStyle w:val="afffffa"/>
        <w:spacing w:beforeLines="50" w:before="120" w:afterLines="50" w:after="120"/>
        <w:ind w:firstLine="420"/>
      </w:pPr>
      <w:r>
        <w:rPr>
          <w:rFonts w:ascii="Times New Roman"/>
        </w:rPr>
        <w:t>勤施、薄施为幼龄树施肥原则，用肥以氮肥为主，配合施用磷、钾肥。视树体大小株施尿素或复合肥</w:t>
      </w:r>
      <w:r>
        <w:rPr>
          <w:rFonts w:ascii="Times New Roman"/>
        </w:rPr>
        <w:t>10</w:t>
      </w:r>
      <w:r>
        <w:rPr>
          <w:rFonts w:ascii="Times New Roman"/>
        </w:rPr>
        <w:t>～</w:t>
      </w:r>
      <w:r>
        <w:rPr>
          <w:rFonts w:ascii="Times New Roman"/>
        </w:rPr>
        <w:t>20 g</w:t>
      </w:r>
      <w:r>
        <w:rPr>
          <w:rFonts w:ascii="Times New Roman"/>
        </w:rPr>
        <w:t>左右，每</w:t>
      </w:r>
      <w:r>
        <w:rPr>
          <w:rFonts w:ascii="Times New Roman"/>
        </w:rPr>
        <w:t>2</w:t>
      </w:r>
      <w:r>
        <w:rPr>
          <w:rFonts w:ascii="Times New Roman"/>
        </w:rPr>
        <w:t>～</w:t>
      </w:r>
      <w:r>
        <w:rPr>
          <w:rFonts w:ascii="Times New Roman"/>
        </w:rPr>
        <w:t>4</w:t>
      </w:r>
      <w:r>
        <w:rPr>
          <w:rFonts w:ascii="Times New Roman"/>
        </w:rPr>
        <w:t>周施肥</w:t>
      </w:r>
      <w:r>
        <w:rPr>
          <w:rFonts w:ascii="Times New Roman"/>
        </w:rPr>
        <w:t>1</w:t>
      </w:r>
      <w:r>
        <w:rPr>
          <w:rFonts w:ascii="Times New Roman"/>
        </w:rPr>
        <w:t>次；随树龄增大，施肥量逐渐增加；新梢展叶后可叶面喷施磷酸二氢钾促进其枝条老熟。</w:t>
      </w:r>
    </w:p>
    <w:p w14:paraId="6120FBCD" w14:textId="77777777" w:rsidR="00E25607" w:rsidRDefault="00000000">
      <w:pPr>
        <w:pStyle w:val="afffffa"/>
        <w:spacing w:beforeLines="50" w:before="120" w:afterLines="50" w:after="120"/>
        <w:ind w:firstLineChars="0" w:firstLine="0"/>
        <w:rPr>
          <w:rFonts w:ascii="黑体" w:eastAsia="黑体"/>
        </w:rPr>
      </w:pPr>
      <w:r>
        <w:rPr>
          <w:rFonts w:ascii="黑体" w:eastAsia="黑体" w:hint="eastAsia"/>
        </w:rPr>
        <w:t>6.2.2.2 初结果树</w:t>
      </w:r>
    </w:p>
    <w:p w14:paraId="4968DC49" w14:textId="77777777" w:rsidR="00E25607" w:rsidRDefault="00000000">
      <w:pPr>
        <w:pStyle w:val="afffffa"/>
        <w:spacing w:beforeLines="50" w:before="120" w:afterLines="50" w:after="120"/>
        <w:ind w:firstLine="420"/>
      </w:pPr>
      <w:r>
        <w:rPr>
          <w:rFonts w:hint="eastAsia"/>
        </w:rPr>
        <w:t>进入初果期后，施肥以有机肥和复合肥为主，结合喷施中微量元素；每轮果实生长周期施肥3～5次，分别为促花肥、坐果肥、膨果肥。促花肥以高钾肥为主，结合硼、锌等微量元素肥；坐果肥以有机肥为</w:t>
      </w:r>
      <w:r>
        <w:rPr>
          <w:rFonts w:hint="eastAsia"/>
        </w:rPr>
        <w:lastRenderedPageBreak/>
        <w:t>主，结合钙、镁等施用；膨果肥以复合肥为主，结合喷施高钾肥。依据树体大小，每次株施40～50 g肥料。</w:t>
      </w:r>
    </w:p>
    <w:p w14:paraId="56D7BD2D" w14:textId="77777777" w:rsidR="00E25607" w:rsidRDefault="00000000">
      <w:pPr>
        <w:pStyle w:val="afffffa"/>
        <w:spacing w:beforeLines="50" w:before="120" w:afterLines="50" w:after="120"/>
        <w:ind w:firstLineChars="0" w:firstLine="0"/>
        <w:rPr>
          <w:rFonts w:ascii="黑体" w:eastAsia="黑体"/>
        </w:rPr>
      </w:pPr>
      <w:r>
        <w:rPr>
          <w:rFonts w:ascii="黑体" w:eastAsia="黑体" w:hint="eastAsia"/>
        </w:rPr>
        <w:t>6.2.2.3 成龄树</w:t>
      </w:r>
    </w:p>
    <w:p w14:paraId="2D814D54" w14:textId="77777777" w:rsidR="00E25607" w:rsidRDefault="00000000">
      <w:pPr>
        <w:pStyle w:val="afffffa"/>
        <w:spacing w:beforeLines="50" w:before="120" w:afterLines="50" w:after="120"/>
        <w:ind w:firstLine="420"/>
      </w:pPr>
      <w:r>
        <w:rPr>
          <w:rFonts w:ascii="Times New Roman"/>
        </w:rPr>
        <w:t>一般中等肥力香水柠檬园，以株产果</w:t>
      </w:r>
      <w:r>
        <w:rPr>
          <w:rFonts w:ascii="Times New Roman"/>
        </w:rPr>
        <w:t>50 kg</w:t>
      </w:r>
      <w:r>
        <w:rPr>
          <w:rFonts w:ascii="Times New Roman"/>
        </w:rPr>
        <w:t>计，株施纯氮</w:t>
      </w:r>
      <w:r>
        <w:rPr>
          <w:rFonts w:ascii="Times New Roman"/>
        </w:rPr>
        <w:t>0.5</w:t>
      </w:r>
      <w:r>
        <w:rPr>
          <w:rFonts w:ascii="Times New Roman"/>
        </w:rPr>
        <w:t>～</w:t>
      </w:r>
      <w:r>
        <w:rPr>
          <w:rFonts w:ascii="Times New Roman"/>
        </w:rPr>
        <w:t>0.6 kg</w:t>
      </w:r>
      <w:r>
        <w:rPr>
          <w:rFonts w:ascii="Times New Roman"/>
        </w:rPr>
        <w:t>。全年氮、磷、钾比例</w:t>
      </w:r>
      <w:r>
        <w:rPr>
          <w:rFonts w:ascii="Times New Roman"/>
        </w:rPr>
        <w:t>1:0.8:1.1</w:t>
      </w:r>
      <w:r>
        <w:rPr>
          <w:rFonts w:ascii="Times New Roman"/>
        </w:rPr>
        <w:t>。有针对补充硼、锌、钙、镁等中、微量元素肥料。每结果周期施肥</w:t>
      </w:r>
      <w:r>
        <w:rPr>
          <w:rFonts w:ascii="Times New Roman"/>
        </w:rPr>
        <w:t>3</w:t>
      </w:r>
      <w:r>
        <w:rPr>
          <w:rFonts w:ascii="Times New Roman"/>
        </w:rPr>
        <w:t>～</w:t>
      </w:r>
      <w:r>
        <w:rPr>
          <w:rFonts w:ascii="Times New Roman"/>
        </w:rPr>
        <w:t>5</w:t>
      </w:r>
      <w:r>
        <w:rPr>
          <w:rFonts w:ascii="Times New Roman"/>
        </w:rPr>
        <w:t>次，依据冠幅大小，每次株施</w:t>
      </w:r>
      <w:r>
        <w:rPr>
          <w:rFonts w:ascii="Times New Roman"/>
        </w:rPr>
        <w:t>50</w:t>
      </w:r>
      <w:r>
        <w:rPr>
          <w:rFonts w:ascii="Times New Roman"/>
        </w:rPr>
        <w:t>～</w:t>
      </w:r>
      <w:r>
        <w:rPr>
          <w:rFonts w:ascii="Times New Roman"/>
        </w:rPr>
        <w:t>80 g</w:t>
      </w:r>
      <w:r>
        <w:rPr>
          <w:rFonts w:ascii="Times New Roman"/>
        </w:rPr>
        <w:t>肥料。</w:t>
      </w:r>
    </w:p>
    <w:p w14:paraId="54804B28" w14:textId="77777777" w:rsidR="00E25607" w:rsidRDefault="00000000">
      <w:pPr>
        <w:pStyle w:val="afffffa"/>
        <w:spacing w:beforeLines="50" w:before="120" w:afterLines="50" w:after="120"/>
        <w:ind w:firstLineChars="0" w:firstLine="0"/>
        <w:rPr>
          <w:rFonts w:ascii="黑体" w:eastAsia="黑体"/>
        </w:rPr>
      </w:pPr>
      <w:r>
        <w:rPr>
          <w:rFonts w:ascii="黑体" w:eastAsia="黑体" w:hint="eastAsia"/>
        </w:rPr>
        <w:t>6.3 水分管理</w:t>
      </w:r>
    </w:p>
    <w:p w14:paraId="58D02DD9" w14:textId="77777777" w:rsidR="00E25607" w:rsidRDefault="00000000">
      <w:pPr>
        <w:pStyle w:val="afffffa"/>
        <w:spacing w:beforeLines="50" w:before="120" w:afterLines="50" w:after="120"/>
        <w:ind w:firstLineChars="0" w:firstLine="0"/>
        <w:rPr>
          <w:rFonts w:ascii="黑体" w:eastAsia="黑体"/>
        </w:rPr>
      </w:pPr>
      <w:r>
        <w:rPr>
          <w:rFonts w:ascii="黑体" w:eastAsia="黑体" w:hint="eastAsia"/>
        </w:rPr>
        <w:t>6.3.1 给水</w:t>
      </w:r>
    </w:p>
    <w:p w14:paraId="457BC263" w14:textId="77777777" w:rsidR="00E25607" w:rsidRDefault="00000000">
      <w:pPr>
        <w:pStyle w:val="afffffa"/>
        <w:spacing w:beforeLines="50" w:before="120" w:afterLines="50" w:after="120"/>
        <w:ind w:firstLine="420"/>
        <w:rPr>
          <w:rFonts w:ascii="Times New Roman"/>
        </w:rPr>
      </w:pPr>
      <w:r>
        <w:rPr>
          <w:rFonts w:ascii="Times New Roman"/>
        </w:rPr>
        <w:t>果园灌溉用水应符合</w:t>
      </w:r>
      <w:r>
        <w:rPr>
          <w:rFonts w:ascii="Times New Roman"/>
        </w:rPr>
        <w:t>GB 5084</w:t>
      </w:r>
      <w:r>
        <w:rPr>
          <w:rFonts w:ascii="Times New Roman"/>
        </w:rPr>
        <w:t>标准。旱季应及时补水，以防止叶片萎蔫或落果；雨季视降雨情况适当补水。</w:t>
      </w:r>
    </w:p>
    <w:p w14:paraId="37DD20AA" w14:textId="77777777" w:rsidR="00E25607" w:rsidRDefault="00000000">
      <w:pPr>
        <w:pStyle w:val="afffffa"/>
        <w:spacing w:beforeLines="50" w:before="120" w:afterLines="50" w:after="120"/>
        <w:ind w:firstLineChars="0" w:firstLine="0"/>
        <w:rPr>
          <w:rFonts w:ascii="黑体" w:eastAsia="黑体"/>
        </w:rPr>
      </w:pPr>
      <w:r>
        <w:rPr>
          <w:rFonts w:ascii="黑体" w:eastAsia="黑体" w:hint="eastAsia"/>
        </w:rPr>
        <w:t>6.3.2 排水</w:t>
      </w:r>
    </w:p>
    <w:p w14:paraId="393AE549" w14:textId="77777777" w:rsidR="00E25607" w:rsidRDefault="00000000">
      <w:pPr>
        <w:pStyle w:val="afffffa"/>
        <w:spacing w:beforeLines="50" w:before="120" w:afterLines="50" w:after="120"/>
        <w:ind w:firstLine="420"/>
      </w:pPr>
      <w:r>
        <w:rPr>
          <w:rFonts w:hint="eastAsia"/>
        </w:rPr>
        <w:t>设置排水系统并及时清淤，雨季或果园积水时及时排水。</w:t>
      </w:r>
    </w:p>
    <w:p w14:paraId="237AFEF5" w14:textId="77777777" w:rsidR="00E25607" w:rsidRDefault="00000000">
      <w:pPr>
        <w:pStyle w:val="afffffa"/>
        <w:spacing w:beforeLines="50" w:before="120" w:afterLines="50" w:after="120"/>
        <w:ind w:firstLineChars="0" w:firstLine="0"/>
        <w:rPr>
          <w:rFonts w:ascii="黑体" w:eastAsia="黑体"/>
        </w:rPr>
      </w:pPr>
      <w:r>
        <w:rPr>
          <w:rFonts w:ascii="黑体" w:eastAsia="黑体" w:hint="eastAsia"/>
        </w:rPr>
        <w:t>6.4 整形修剪</w:t>
      </w:r>
    </w:p>
    <w:p w14:paraId="4093C3E3" w14:textId="77777777" w:rsidR="00E25607" w:rsidRDefault="00000000">
      <w:pPr>
        <w:pStyle w:val="afffffa"/>
        <w:spacing w:beforeLines="50" w:before="120" w:afterLines="50" w:after="120"/>
        <w:ind w:firstLineChars="0" w:firstLine="0"/>
        <w:rPr>
          <w:rFonts w:ascii="黑体" w:eastAsia="黑体"/>
        </w:rPr>
      </w:pPr>
      <w:r>
        <w:rPr>
          <w:rFonts w:ascii="黑体" w:eastAsia="黑体" w:hint="eastAsia"/>
        </w:rPr>
        <w:t>6.4.1 整形</w:t>
      </w:r>
    </w:p>
    <w:p w14:paraId="7FCEAEDB" w14:textId="77777777" w:rsidR="00E25607" w:rsidRDefault="00000000">
      <w:pPr>
        <w:pStyle w:val="afffffa"/>
        <w:spacing w:beforeLines="50" w:before="120" w:afterLines="50" w:after="120"/>
        <w:ind w:firstLine="420"/>
        <w:rPr>
          <w:rFonts w:ascii="Times New Roman"/>
        </w:rPr>
      </w:pPr>
      <w:r>
        <w:rPr>
          <w:rFonts w:ascii="Times New Roman"/>
        </w:rPr>
        <w:t>通过整形培养树体的主干和骨架主枝，主要采用多主干型，主干高</w:t>
      </w:r>
      <w:r>
        <w:rPr>
          <w:rFonts w:ascii="Times New Roman"/>
        </w:rPr>
        <w:t>40 cm</w:t>
      </w:r>
      <w:r>
        <w:rPr>
          <w:rFonts w:ascii="Times New Roman"/>
        </w:rPr>
        <w:t>～</w:t>
      </w:r>
      <w:r>
        <w:rPr>
          <w:rFonts w:ascii="Times New Roman"/>
        </w:rPr>
        <w:t>60 cm</w:t>
      </w:r>
      <w:r>
        <w:rPr>
          <w:rFonts w:ascii="Times New Roman"/>
        </w:rPr>
        <w:t>，每干留主枝</w:t>
      </w:r>
      <w:r>
        <w:rPr>
          <w:rFonts w:ascii="Times New Roman"/>
        </w:rPr>
        <w:t>3</w:t>
      </w:r>
      <w:r>
        <w:rPr>
          <w:rFonts w:ascii="Times New Roman"/>
        </w:rPr>
        <w:t>～</w:t>
      </w:r>
      <w:r>
        <w:rPr>
          <w:rFonts w:ascii="Times New Roman"/>
        </w:rPr>
        <w:t>5</w:t>
      </w:r>
      <w:r>
        <w:rPr>
          <w:rFonts w:ascii="Times New Roman"/>
        </w:rPr>
        <w:t>个，各主枝配置副主枝</w:t>
      </w:r>
      <w:r>
        <w:rPr>
          <w:rFonts w:ascii="Times New Roman"/>
        </w:rPr>
        <w:t>3</w:t>
      </w:r>
      <w:r>
        <w:rPr>
          <w:rFonts w:ascii="Times New Roman"/>
        </w:rPr>
        <w:t>～</w:t>
      </w:r>
      <w:r>
        <w:rPr>
          <w:rFonts w:ascii="Times New Roman"/>
        </w:rPr>
        <w:t>5</w:t>
      </w:r>
      <w:r>
        <w:rPr>
          <w:rFonts w:ascii="Times New Roman"/>
        </w:rPr>
        <w:t>个，主、侧枝均匀分布，配置适当侧枝、枝组。</w:t>
      </w:r>
    </w:p>
    <w:p w14:paraId="37170E21" w14:textId="77777777" w:rsidR="00E25607" w:rsidRDefault="00000000">
      <w:pPr>
        <w:pStyle w:val="afffffa"/>
        <w:spacing w:beforeLines="50" w:before="120" w:afterLines="50" w:after="120"/>
        <w:ind w:firstLineChars="0" w:firstLine="0"/>
        <w:rPr>
          <w:rFonts w:ascii="黑体" w:eastAsia="黑体"/>
        </w:rPr>
      </w:pPr>
      <w:r>
        <w:rPr>
          <w:rFonts w:ascii="黑体" w:eastAsia="黑体" w:hint="eastAsia"/>
        </w:rPr>
        <w:t>6.4.2 修剪</w:t>
      </w:r>
    </w:p>
    <w:p w14:paraId="0A85EA86" w14:textId="77777777" w:rsidR="00E25607" w:rsidRDefault="00000000">
      <w:pPr>
        <w:pStyle w:val="afffffa"/>
        <w:spacing w:beforeLines="50" w:before="120" w:afterLines="50" w:after="120"/>
        <w:ind w:firstLine="420"/>
      </w:pPr>
      <w:r>
        <w:rPr>
          <w:rFonts w:hint="eastAsia"/>
        </w:rPr>
        <w:t>通过疏删交叉、重叠和直立枝，短截过长枝条，回缩结果后枝组，保持树体通风透光，培育丰产性树型。按照从上到下、从外到内、看树修剪的原则，做到大枝稀、小枝密，上部稀、下部密，大中小枝分布合理。</w:t>
      </w:r>
    </w:p>
    <w:p w14:paraId="4E82C4AF" w14:textId="77777777" w:rsidR="00E25607" w:rsidRDefault="00000000">
      <w:pPr>
        <w:pStyle w:val="afffffa"/>
        <w:spacing w:beforeLines="50" w:before="120" w:afterLines="50" w:after="120"/>
        <w:ind w:firstLineChars="0" w:firstLine="0"/>
        <w:rPr>
          <w:rFonts w:ascii="黑体" w:eastAsia="黑体"/>
        </w:rPr>
      </w:pPr>
      <w:r>
        <w:rPr>
          <w:rFonts w:ascii="黑体" w:eastAsia="黑体" w:hint="eastAsia"/>
        </w:rPr>
        <w:t>6.4.3 幼龄树</w:t>
      </w:r>
    </w:p>
    <w:p w14:paraId="09C05BA6" w14:textId="77777777" w:rsidR="00E25607" w:rsidRDefault="00000000">
      <w:pPr>
        <w:pStyle w:val="afffffa"/>
        <w:spacing w:beforeLines="50" w:before="120" w:afterLines="50" w:after="120"/>
        <w:ind w:firstLine="420"/>
        <w:rPr>
          <w:rFonts w:ascii="Times New Roman"/>
        </w:rPr>
      </w:pPr>
      <w:r>
        <w:rPr>
          <w:rFonts w:ascii="Times New Roman"/>
        </w:rPr>
        <w:t>轻剪为主，每次新梢长</w:t>
      </w:r>
      <w:r>
        <w:rPr>
          <w:rFonts w:ascii="Times New Roman"/>
        </w:rPr>
        <w:t>20</w:t>
      </w:r>
      <w:r>
        <w:rPr>
          <w:rFonts w:ascii="Times New Roman"/>
        </w:rPr>
        <w:t>～</w:t>
      </w:r>
      <w:r>
        <w:rPr>
          <w:rFonts w:ascii="Times New Roman"/>
        </w:rPr>
        <w:t>25 cm</w:t>
      </w:r>
      <w:r>
        <w:rPr>
          <w:rFonts w:ascii="Times New Roman"/>
        </w:rPr>
        <w:t>时摘心。避免过多的疏剪和重短截。除对过密枝群作适当疏删外，内膛枝和树冠中下部较弱的枝梢一般均应保留。</w:t>
      </w:r>
    </w:p>
    <w:p w14:paraId="33889C43" w14:textId="77777777" w:rsidR="00E25607" w:rsidRDefault="00000000">
      <w:pPr>
        <w:pStyle w:val="afffffa"/>
        <w:spacing w:beforeLines="50" w:before="120" w:afterLines="50" w:after="120"/>
        <w:ind w:firstLineChars="0" w:firstLine="0"/>
        <w:rPr>
          <w:rFonts w:ascii="黑体" w:eastAsia="黑体"/>
        </w:rPr>
      </w:pPr>
      <w:r>
        <w:rPr>
          <w:rFonts w:ascii="黑体" w:eastAsia="黑体" w:hint="eastAsia"/>
        </w:rPr>
        <w:t>6.4.4 初结果树</w:t>
      </w:r>
    </w:p>
    <w:p w14:paraId="1ADF8F95" w14:textId="77777777" w:rsidR="00E25607" w:rsidRDefault="00000000">
      <w:pPr>
        <w:pStyle w:val="afffffa"/>
        <w:spacing w:beforeLines="50" w:before="120" w:afterLines="50" w:after="120"/>
        <w:ind w:firstLine="420"/>
        <w:rPr>
          <w:rFonts w:ascii="Times New Roman"/>
        </w:rPr>
      </w:pPr>
      <w:r>
        <w:rPr>
          <w:rFonts w:ascii="Times New Roman"/>
        </w:rPr>
        <w:t>继续选择和短截处理各级骨干枝、延长枝；对过长的营养枝留</w:t>
      </w:r>
      <w:r>
        <w:rPr>
          <w:rFonts w:ascii="Times New Roman"/>
        </w:rPr>
        <w:t>20</w:t>
      </w:r>
      <w:r>
        <w:rPr>
          <w:rFonts w:ascii="Times New Roman"/>
        </w:rPr>
        <w:t>～</w:t>
      </w:r>
      <w:r>
        <w:rPr>
          <w:rFonts w:ascii="Times New Roman"/>
        </w:rPr>
        <w:t>25 cm</w:t>
      </w:r>
      <w:r>
        <w:rPr>
          <w:rFonts w:ascii="Times New Roman"/>
        </w:rPr>
        <w:t>及时摘心</w:t>
      </w:r>
      <w:r>
        <w:rPr>
          <w:rFonts w:ascii="Times New Roman"/>
        </w:rPr>
        <w:t>,</w:t>
      </w:r>
      <w:r>
        <w:rPr>
          <w:rFonts w:ascii="Times New Roman"/>
        </w:rPr>
        <w:t>回缩或短截结果后枝组。</w:t>
      </w:r>
    </w:p>
    <w:p w14:paraId="0D94076C" w14:textId="77777777" w:rsidR="00E25607" w:rsidRDefault="00000000">
      <w:pPr>
        <w:pStyle w:val="afffffa"/>
        <w:spacing w:beforeLines="50" w:before="120" w:afterLines="50" w:after="120"/>
        <w:ind w:firstLineChars="0" w:firstLine="0"/>
        <w:rPr>
          <w:rFonts w:ascii="黑体" w:eastAsia="黑体"/>
        </w:rPr>
      </w:pPr>
      <w:r>
        <w:rPr>
          <w:rFonts w:ascii="黑体" w:eastAsia="黑体" w:hint="eastAsia"/>
        </w:rPr>
        <w:t>6.4.5 成龄树</w:t>
      </w:r>
    </w:p>
    <w:p w14:paraId="02ED67DF" w14:textId="77777777" w:rsidR="00E25607" w:rsidRDefault="00000000">
      <w:pPr>
        <w:pStyle w:val="afffffa"/>
        <w:spacing w:beforeLines="50" w:before="120" w:afterLines="50" w:after="120"/>
        <w:ind w:firstLine="420"/>
      </w:pPr>
      <w:r>
        <w:rPr>
          <w:rFonts w:hint="eastAsia"/>
        </w:rPr>
        <w:t>修剪原则是“上重、下轻、外重、内轻”。注意保留树冠内部和下部的弱枝。及时回缩结果后枝组、重截直立枝。剪除枯枝、病虫枝。对骨干枝偏多、树冠郁闭的采取大枝修剪技术，开“天窗”将光线引入树冠内膛。及时调整树体结构，形成树体矮化紧凑、内部通风透光、枝条疏密合理的树形，树高控制在2~2.5 m以内，以便于作业。</w:t>
      </w:r>
    </w:p>
    <w:p w14:paraId="68B67AE0" w14:textId="77777777" w:rsidR="00E25607" w:rsidRDefault="00000000">
      <w:pPr>
        <w:pStyle w:val="afffffa"/>
        <w:spacing w:beforeLines="50" w:before="120" w:afterLines="50" w:after="120"/>
        <w:ind w:firstLineChars="0" w:firstLine="0"/>
        <w:rPr>
          <w:rFonts w:ascii="黑体" w:eastAsia="黑体"/>
        </w:rPr>
      </w:pPr>
      <w:r>
        <w:rPr>
          <w:rFonts w:ascii="黑体" w:eastAsia="黑体" w:hint="eastAsia"/>
        </w:rPr>
        <w:t>6.4.6 衰老更新期修剪</w:t>
      </w:r>
    </w:p>
    <w:p w14:paraId="3B94CB4E" w14:textId="77777777" w:rsidR="00E25607" w:rsidRDefault="00000000">
      <w:pPr>
        <w:pStyle w:val="afffffa"/>
        <w:spacing w:beforeLines="50" w:before="120" w:afterLines="50" w:after="120"/>
        <w:ind w:firstLine="420"/>
      </w:pPr>
      <w:r>
        <w:rPr>
          <w:rFonts w:hint="eastAsia"/>
        </w:rPr>
        <w:t>减少花量，回缩衰弱枝组，疏删密弱枝，短截夏、秋梢营养枝，促发春、夏、秋梢，实施短截强枝、保留中庸枝和疏去弱枝，以恢复树势。</w:t>
      </w:r>
    </w:p>
    <w:p w14:paraId="56483757" w14:textId="77777777" w:rsidR="00E25607" w:rsidRDefault="00000000">
      <w:pPr>
        <w:pStyle w:val="afffffa"/>
        <w:spacing w:beforeLines="50" w:before="120" w:afterLines="50" w:after="120"/>
        <w:ind w:firstLineChars="0" w:firstLine="0"/>
        <w:rPr>
          <w:rFonts w:ascii="黑体" w:eastAsia="黑体"/>
        </w:rPr>
      </w:pPr>
      <w:r>
        <w:rPr>
          <w:rFonts w:ascii="黑体" w:eastAsia="黑体" w:hint="eastAsia"/>
        </w:rPr>
        <w:t>6.5 花果管理</w:t>
      </w:r>
    </w:p>
    <w:p w14:paraId="2B7FF3CD" w14:textId="77777777" w:rsidR="00E25607" w:rsidRDefault="00000000">
      <w:pPr>
        <w:pStyle w:val="afffffa"/>
        <w:spacing w:beforeLines="50" w:before="120" w:afterLines="50" w:after="120"/>
        <w:ind w:firstLineChars="0" w:firstLine="0"/>
        <w:rPr>
          <w:rFonts w:ascii="黑体" w:eastAsia="黑体"/>
        </w:rPr>
      </w:pPr>
      <w:r>
        <w:rPr>
          <w:rFonts w:ascii="黑体" w:eastAsia="黑体" w:hint="eastAsia"/>
        </w:rPr>
        <w:t>6.5.1 促花</w:t>
      </w:r>
    </w:p>
    <w:p w14:paraId="66B8C83A" w14:textId="77777777" w:rsidR="00E25607" w:rsidRDefault="00000000">
      <w:pPr>
        <w:pStyle w:val="afffffa"/>
        <w:spacing w:beforeLines="50" w:before="120" w:afterLines="50" w:after="120"/>
        <w:ind w:firstLine="420"/>
      </w:pPr>
      <w:r>
        <w:rPr>
          <w:rFonts w:ascii="Times New Roman"/>
        </w:rPr>
        <w:t>香水柠檬一年四季均可开花。冬季地温高于</w:t>
      </w:r>
      <w:r>
        <w:rPr>
          <w:rFonts w:ascii="Times New Roman"/>
        </w:rPr>
        <w:t>12℃</w:t>
      </w:r>
      <w:r>
        <w:rPr>
          <w:rFonts w:ascii="Times New Roman"/>
        </w:rPr>
        <w:t>，可通过株施复合肥</w:t>
      </w:r>
      <w:r>
        <w:rPr>
          <w:rFonts w:ascii="Times New Roman"/>
        </w:rPr>
        <w:t>30</w:t>
      </w:r>
      <w:r>
        <w:rPr>
          <w:rFonts w:ascii="Times New Roman"/>
        </w:rPr>
        <w:t>～</w:t>
      </w:r>
      <w:r>
        <w:rPr>
          <w:rFonts w:ascii="Times New Roman"/>
        </w:rPr>
        <w:t>80 g</w:t>
      </w:r>
      <w:r>
        <w:rPr>
          <w:rFonts w:ascii="Times New Roman"/>
        </w:rPr>
        <w:t>，结合叶面喷施磷酸二氢钾和速乐硼等促花；其他高温季节促花</w:t>
      </w:r>
      <w:r>
        <w:rPr>
          <w:rFonts w:hint="eastAsia"/>
        </w:rPr>
        <w:t>与冬季类似，应依据树体情况，酌量增减复合肥的用量。</w:t>
      </w:r>
    </w:p>
    <w:p w14:paraId="59E64138" w14:textId="77777777" w:rsidR="00E25607" w:rsidRDefault="00000000">
      <w:pPr>
        <w:pStyle w:val="afffffa"/>
        <w:spacing w:beforeLines="50" w:before="120" w:afterLines="50" w:after="120"/>
        <w:ind w:firstLineChars="0" w:firstLine="0"/>
        <w:rPr>
          <w:rFonts w:ascii="黑体" w:eastAsia="黑体"/>
        </w:rPr>
      </w:pPr>
      <w:r>
        <w:rPr>
          <w:rFonts w:ascii="黑体" w:eastAsia="黑体" w:hint="eastAsia"/>
        </w:rPr>
        <w:t>6.5.2 保花保果</w:t>
      </w:r>
    </w:p>
    <w:p w14:paraId="7160ED9D" w14:textId="77777777" w:rsidR="00E25607" w:rsidRDefault="00000000">
      <w:pPr>
        <w:pStyle w:val="afffffa"/>
        <w:spacing w:beforeLines="50" w:before="120" w:afterLines="50" w:after="120"/>
        <w:ind w:firstLine="420"/>
        <w:rPr>
          <w:rFonts w:ascii="Times New Roman"/>
        </w:rPr>
      </w:pPr>
      <w:r>
        <w:rPr>
          <w:rFonts w:ascii="Times New Roman"/>
        </w:rPr>
        <w:lastRenderedPageBreak/>
        <w:t>香水柠檬花果并存，对养分需求较多。现蕾后应及时补肥，如发现树体叶片发黄，应及时补充树体营养。初花期可喷施</w:t>
      </w:r>
      <w:r>
        <w:rPr>
          <w:rFonts w:ascii="Times New Roman"/>
        </w:rPr>
        <w:t>0.3%</w:t>
      </w:r>
      <w:r>
        <w:rPr>
          <w:rFonts w:ascii="Times New Roman"/>
        </w:rPr>
        <w:t>的尿素＋</w:t>
      </w:r>
      <w:r>
        <w:rPr>
          <w:rFonts w:ascii="Times New Roman"/>
        </w:rPr>
        <w:t>0.2%</w:t>
      </w:r>
      <w:r>
        <w:rPr>
          <w:rFonts w:ascii="Times New Roman"/>
        </w:rPr>
        <w:t>～</w:t>
      </w:r>
      <w:r>
        <w:rPr>
          <w:rFonts w:ascii="Times New Roman"/>
        </w:rPr>
        <w:t>0.3%</w:t>
      </w:r>
      <w:r>
        <w:rPr>
          <w:rFonts w:ascii="Times New Roman"/>
        </w:rPr>
        <w:t>的磷酸二氢钾＋</w:t>
      </w:r>
      <w:r>
        <w:rPr>
          <w:rFonts w:ascii="Times New Roman"/>
        </w:rPr>
        <w:t>0.1%</w:t>
      </w:r>
      <w:r>
        <w:rPr>
          <w:rFonts w:ascii="Times New Roman"/>
        </w:rPr>
        <w:t>～</w:t>
      </w:r>
      <w:r>
        <w:rPr>
          <w:rFonts w:ascii="Times New Roman"/>
        </w:rPr>
        <w:t>0.3%</w:t>
      </w:r>
      <w:r>
        <w:rPr>
          <w:rFonts w:ascii="Times New Roman"/>
        </w:rPr>
        <w:t>的硼砂；幼果期喷施</w:t>
      </w:r>
      <w:r>
        <w:rPr>
          <w:rFonts w:ascii="Times New Roman"/>
        </w:rPr>
        <w:t>0.3%</w:t>
      </w:r>
      <w:r>
        <w:rPr>
          <w:rFonts w:ascii="Times New Roman"/>
        </w:rPr>
        <w:t>尿素＋</w:t>
      </w:r>
      <w:r>
        <w:rPr>
          <w:rFonts w:ascii="Times New Roman"/>
        </w:rPr>
        <w:t>0.2%</w:t>
      </w:r>
      <w:r>
        <w:rPr>
          <w:rFonts w:ascii="Times New Roman"/>
        </w:rPr>
        <w:t>～</w:t>
      </w:r>
      <w:r>
        <w:rPr>
          <w:rFonts w:ascii="Times New Roman"/>
        </w:rPr>
        <w:t>0.3%</w:t>
      </w:r>
      <w:r>
        <w:rPr>
          <w:rFonts w:ascii="Times New Roman"/>
        </w:rPr>
        <w:t>磷酸二氢钾</w:t>
      </w:r>
      <w:r>
        <w:rPr>
          <w:rFonts w:ascii="Times New Roman"/>
        </w:rPr>
        <w:t>2</w:t>
      </w:r>
      <w:r>
        <w:rPr>
          <w:rFonts w:ascii="Times New Roman"/>
        </w:rPr>
        <w:t>～</w:t>
      </w:r>
      <w:r>
        <w:rPr>
          <w:rFonts w:ascii="Times New Roman"/>
        </w:rPr>
        <w:t>3</w:t>
      </w:r>
      <w:r>
        <w:rPr>
          <w:rFonts w:ascii="Times New Roman"/>
        </w:rPr>
        <w:t>次，每次间隔</w:t>
      </w:r>
      <w:r>
        <w:rPr>
          <w:rFonts w:ascii="Times New Roman"/>
        </w:rPr>
        <w:t>7~10</w:t>
      </w:r>
      <w:r>
        <w:rPr>
          <w:rFonts w:ascii="Times New Roman"/>
        </w:rPr>
        <w:t>天，以提高座果率。</w:t>
      </w:r>
    </w:p>
    <w:p w14:paraId="2E888BEF" w14:textId="77777777" w:rsidR="00E25607" w:rsidRDefault="00000000">
      <w:pPr>
        <w:pStyle w:val="afffffa"/>
        <w:spacing w:beforeLines="50" w:before="120" w:afterLines="50" w:after="120"/>
        <w:ind w:firstLineChars="0" w:firstLine="0"/>
        <w:rPr>
          <w:rFonts w:ascii="黑体" w:eastAsia="黑体"/>
        </w:rPr>
      </w:pPr>
      <w:bookmarkStart w:id="44" w:name="_Toc320175191"/>
      <w:bookmarkStart w:id="45" w:name="_Toc320175210"/>
      <w:r>
        <w:rPr>
          <w:rFonts w:ascii="黑体" w:eastAsia="黑体" w:hint="eastAsia"/>
        </w:rPr>
        <w:t>7 建立生产档案</w:t>
      </w:r>
      <w:bookmarkEnd w:id="44"/>
      <w:bookmarkEnd w:id="45"/>
    </w:p>
    <w:p w14:paraId="476D18E1" w14:textId="77777777" w:rsidR="00E25607" w:rsidRDefault="00000000">
      <w:pPr>
        <w:pStyle w:val="afffffa"/>
        <w:spacing w:beforeLines="50" w:before="120" w:afterLines="50" w:after="120"/>
        <w:ind w:firstLine="420"/>
      </w:pPr>
      <w:r>
        <w:rPr>
          <w:rFonts w:hint="eastAsia"/>
        </w:rPr>
        <w:t>应详细记录产地环境条件、生产技术等情况并保存记录。</w:t>
      </w:r>
    </w:p>
    <w:p w14:paraId="39CF0FF2" w14:textId="77777777" w:rsidR="00E25607" w:rsidRDefault="00E25607">
      <w:pPr>
        <w:pStyle w:val="afffffa"/>
        <w:spacing w:beforeLines="50" w:before="120" w:afterLines="50" w:after="120"/>
        <w:ind w:firstLine="420"/>
      </w:pPr>
    </w:p>
    <w:p w14:paraId="57A38A62" w14:textId="77777777" w:rsidR="00E25607" w:rsidRDefault="00000000">
      <w:pPr>
        <w:rPr>
          <w:rFonts w:ascii="宋体" w:hAnsi="Times New Roman"/>
        </w:rPr>
      </w:pPr>
      <w:r>
        <w:rPr>
          <w:rFonts w:ascii="宋体" w:hAnsi="Times New Roman" w:hint="eastAsia"/>
        </w:rPr>
        <w:br w:type="page"/>
      </w:r>
    </w:p>
    <w:p w14:paraId="3800B8C7" w14:textId="77777777" w:rsidR="00E25607" w:rsidRDefault="00000000">
      <w:pPr>
        <w:pStyle w:val="aff3"/>
        <w:numPr>
          <w:ilvl w:val="0"/>
          <w:numId w:val="0"/>
        </w:numPr>
      </w:pPr>
      <w:r>
        <w:lastRenderedPageBreak/>
        <w:t>附  录  A</w:t>
      </w:r>
      <w:r>
        <w:br/>
        <w:t>（资料性附录）</w:t>
      </w:r>
    </w:p>
    <w:p w14:paraId="0EBD88B5" w14:textId="77777777" w:rsidR="00E25607" w:rsidRDefault="00E25607">
      <w:pPr>
        <w:pStyle w:val="afffffa"/>
        <w:ind w:firstLine="420"/>
      </w:pPr>
    </w:p>
    <w:p w14:paraId="18323623" w14:textId="77777777" w:rsidR="00E25607" w:rsidRDefault="00000000">
      <w:pPr>
        <w:snapToGrid w:val="0"/>
        <w:spacing w:before="10" w:afterLines="50" w:after="120" w:line="219" w:lineRule="auto"/>
        <w:jc w:val="center"/>
      </w:pPr>
      <w:r>
        <w:rPr>
          <w:rFonts w:ascii="黑体" w:eastAsia="黑体" w:hAnsi="黑体" w:cs="黑体" w:hint="eastAsia"/>
          <w:spacing w:val="-12"/>
        </w:rPr>
        <w:t>表A.1  香水柠檬叶片营养元素含量的适宜参考值</w:t>
      </w:r>
    </w:p>
    <w:tbl>
      <w:tblPr>
        <w:tblpPr w:leftFromText="180" w:rightFromText="180" w:vertAnchor="text" w:horzAnchor="page" w:tblpX="1681" w:tblpY="103"/>
        <w:tblOverlap w:val="never"/>
        <w:tblW w:w="88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174"/>
        <w:gridCol w:w="4068"/>
        <w:gridCol w:w="2576"/>
      </w:tblGrid>
      <w:tr w:rsidR="00E25607" w14:paraId="615231C6" w14:textId="77777777">
        <w:trPr>
          <w:trHeight w:val="454"/>
        </w:trPr>
        <w:tc>
          <w:tcPr>
            <w:tcW w:w="2174" w:type="dxa"/>
            <w:tcBorders>
              <w:top w:val="single" w:sz="12" w:space="0" w:color="000000"/>
              <w:left w:val="single" w:sz="12" w:space="0" w:color="000000"/>
              <w:right w:val="single" w:sz="4" w:space="0" w:color="000000"/>
            </w:tcBorders>
            <w:vAlign w:val="center"/>
          </w:tcPr>
          <w:p w14:paraId="5953A0E6" w14:textId="77777777" w:rsidR="00E25607" w:rsidRDefault="00000000">
            <w:pPr>
              <w:jc w:val="center"/>
              <w:rPr>
                <w:rFonts w:ascii="黑体" w:eastAsia="黑体" w:hAnsi="黑体" w:cs="黑体" w:hint="eastAsia"/>
              </w:rPr>
            </w:pPr>
            <w:r>
              <w:rPr>
                <w:rFonts w:ascii="黑体" w:eastAsia="黑体" w:hAnsi="黑体" w:cs="黑体" w:hint="eastAsia"/>
                <w:spacing w:val="-2"/>
              </w:rPr>
              <w:t>营养元素</w:t>
            </w:r>
          </w:p>
        </w:tc>
        <w:tc>
          <w:tcPr>
            <w:tcW w:w="4068" w:type="dxa"/>
            <w:tcBorders>
              <w:top w:val="single" w:sz="12" w:space="0" w:color="000000"/>
              <w:left w:val="single" w:sz="4" w:space="0" w:color="000000"/>
              <w:right w:val="single" w:sz="4" w:space="0" w:color="000000"/>
            </w:tcBorders>
            <w:vAlign w:val="center"/>
          </w:tcPr>
          <w:p w14:paraId="78507CA1" w14:textId="77777777" w:rsidR="00E25607" w:rsidRDefault="00000000">
            <w:pPr>
              <w:jc w:val="center"/>
              <w:rPr>
                <w:rFonts w:ascii="黑体" w:eastAsia="黑体" w:hAnsi="黑体" w:cs="黑体" w:hint="eastAsia"/>
              </w:rPr>
            </w:pPr>
            <w:r>
              <w:rPr>
                <w:rFonts w:ascii="黑体" w:eastAsia="黑体" w:hAnsi="黑体" w:cs="黑体" w:hint="eastAsia"/>
                <w:spacing w:val="-2"/>
              </w:rPr>
              <w:t>香水柠檬</w:t>
            </w:r>
          </w:p>
        </w:tc>
        <w:tc>
          <w:tcPr>
            <w:tcW w:w="2576" w:type="dxa"/>
            <w:tcBorders>
              <w:top w:val="single" w:sz="12" w:space="0" w:color="000000"/>
              <w:left w:val="single" w:sz="4" w:space="0" w:color="000000"/>
              <w:right w:val="single" w:sz="12" w:space="0" w:color="000000"/>
            </w:tcBorders>
            <w:vAlign w:val="center"/>
          </w:tcPr>
          <w:p w14:paraId="42CA2DF7" w14:textId="77777777" w:rsidR="00E25607" w:rsidRDefault="00000000">
            <w:pPr>
              <w:spacing w:before="70" w:line="219" w:lineRule="auto"/>
              <w:jc w:val="center"/>
              <w:rPr>
                <w:rFonts w:ascii="黑体" w:eastAsia="黑体" w:hAnsi="黑体" w:cs="黑体" w:hint="eastAsia"/>
              </w:rPr>
            </w:pPr>
            <w:r>
              <w:rPr>
                <w:rFonts w:ascii="黑体" w:eastAsia="黑体" w:hAnsi="黑体" w:cs="黑体" w:hint="eastAsia"/>
                <w:spacing w:val="1"/>
              </w:rPr>
              <w:t>占干物质重</w:t>
            </w:r>
          </w:p>
        </w:tc>
      </w:tr>
      <w:tr w:rsidR="00E25607" w14:paraId="09E0E433" w14:textId="77777777">
        <w:trPr>
          <w:trHeight w:val="454"/>
        </w:trPr>
        <w:tc>
          <w:tcPr>
            <w:tcW w:w="2174" w:type="dxa"/>
            <w:tcBorders>
              <w:left w:val="single" w:sz="12" w:space="0" w:color="000000"/>
              <w:right w:val="single" w:sz="4" w:space="0" w:color="000000"/>
            </w:tcBorders>
            <w:vAlign w:val="center"/>
          </w:tcPr>
          <w:p w14:paraId="294C58FD" w14:textId="77777777" w:rsidR="00E25607" w:rsidRDefault="00000000">
            <w:pPr>
              <w:jc w:val="center"/>
              <w:rPr>
                <w:rFonts w:ascii="宋体" w:hAnsi="宋体" w:cs="宋体" w:hint="eastAsia"/>
                <w:sz w:val="18"/>
                <w:szCs w:val="18"/>
              </w:rPr>
            </w:pPr>
            <w:r>
              <w:rPr>
                <w:rFonts w:ascii="宋体" w:hAnsi="宋体" w:cs="宋体" w:hint="eastAsia"/>
                <w:sz w:val="18"/>
                <w:szCs w:val="18"/>
              </w:rPr>
              <w:t>氮</w:t>
            </w:r>
          </w:p>
        </w:tc>
        <w:tc>
          <w:tcPr>
            <w:tcW w:w="4068" w:type="dxa"/>
            <w:tcBorders>
              <w:left w:val="single" w:sz="4" w:space="0" w:color="000000"/>
              <w:right w:val="single" w:sz="4" w:space="0" w:color="000000"/>
            </w:tcBorders>
            <w:vAlign w:val="center"/>
          </w:tcPr>
          <w:p w14:paraId="70FEB680" w14:textId="77777777" w:rsidR="00E25607" w:rsidRDefault="00000000">
            <w:pPr>
              <w:jc w:val="center"/>
              <w:rPr>
                <w:rFonts w:ascii="宋体" w:hAnsi="宋体" w:cs="宋体" w:hint="eastAsia"/>
                <w:sz w:val="18"/>
                <w:szCs w:val="18"/>
              </w:rPr>
            </w:pPr>
            <w:r>
              <w:rPr>
                <w:rFonts w:ascii="宋体" w:hAnsi="宋体" w:cs="宋体" w:hint="eastAsia"/>
                <w:spacing w:val="-2"/>
                <w:sz w:val="18"/>
                <w:szCs w:val="18"/>
              </w:rPr>
              <w:t xml:space="preserve">25～40 </w:t>
            </w:r>
            <w:r>
              <w:rPr>
                <w:rFonts w:ascii="宋体" w:hAnsi="宋体" w:cs="宋体" w:hint="eastAsia"/>
                <w:spacing w:val="-4"/>
                <w:sz w:val="18"/>
                <w:szCs w:val="18"/>
              </w:rPr>
              <w:t>g/kg</w:t>
            </w:r>
          </w:p>
        </w:tc>
        <w:tc>
          <w:tcPr>
            <w:tcW w:w="2576" w:type="dxa"/>
            <w:vMerge w:val="restart"/>
            <w:tcBorders>
              <w:left w:val="single" w:sz="4" w:space="0" w:color="000000"/>
              <w:right w:val="single" w:sz="12" w:space="0" w:color="000000"/>
            </w:tcBorders>
          </w:tcPr>
          <w:p w14:paraId="76AC4F79" w14:textId="77777777" w:rsidR="00E25607" w:rsidRDefault="00E25607">
            <w:pPr>
              <w:spacing w:line="287" w:lineRule="auto"/>
              <w:jc w:val="center"/>
              <w:rPr>
                <w:rFonts w:ascii="宋体" w:hAnsi="宋体" w:cs="宋体" w:hint="eastAsia"/>
                <w:sz w:val="18"/>
                <w:szCs w:val="18"/>
              </w:rPr>
            </w:pPr>
          </w:p>
          <w:p w14:paraId="4B71C247" w14:textId="77777777" w:rsidR="00E25607" w:rsidRDefault="00E25607">
            <w:pPr>
              <w:spacing w:line="287" w:lineRule="auto"/>
              <w:jc w:val="center"/>
              <w:rPr>
                <w:rFonts w:ascii="宋体" w:hAnsi="宋体" w:cs="宋体" w:hint="eastAsia"/>
                <w:sz w:val="18"/>
                <w:szCs w:val="18"/>
              </w:rPr>
            </w:pPr>
          </w:p>
          <w:p w14:paraId="6636F83B" w14:textId="77777777" w:rsidR="00E25607" w:rsidRDefault="00E25607">
            <w:pPr>
              <w:spacing w:line="287" w:lineRule="auto"/>
              <w:jc w:val="center"/>
              <w:rPr>
                <w:rFonts w:ascii="宋体" w:hAnsi="宋体" w:cs="宋体" w:hint="eastAsia"/>
                <w:sz w:val="18"/>
                <w:szCs w:val="18"/>
              </w:rPr>
            </w:pPr>
          </w:p>
          <w:p w14:paraId="65DDD27D" w14:textId="77777777" w:rsidR="00E25607" w:rsidRDefault="00000000">
            <w:pPr>
              <w:spacing w:before="48" w:line="214" w:lineRule="auto"/>
              <w:jc w:val="center"/>
              <w:rPr>
                <w:rFonts w:ascii="宋体" w:hAnsi="宋体" w:cs="宋体" w:hint="eastAsia"/>
                <w:sz w:val="18"/>
                <w:szCs w:val="18"/>
              </w:rPr>
            </w:pPr>
            <w:r>
              <w:rPr>
                <w:rFonts w:ascii="宋体" w:hAnsi="宋体" w:cs="宋体" w:hint="eastAsia"/>
                <w:spacing w:val="-4"/>
                <w:sz w:val="18"/>
                <w:szCs w:val="18"/>
              </w:rPr>
              <w:t>g/kg</w:t>
            </w:r>
          </w:p>
        </w:tc>
      </w:tr>
      <w:tr w:rsidR="00E25607" w14:paraId="6834D84D" w14:textId="77777777">
        <w:trPr>
          <w:trHeight w:val="454"/>
        </w:trPr>
        <w:tc>
          <w:tcPr>
            <w:tcW w:w="2174" w:type="dxa"/>
            <w:tcBorders>
              <w:left w:val="single" w:sz="12" w:space="0" w:color="000000"/>
              <w:right w:val="single" w:sz="4" w:space="0" w:color="000000"/>
            </w:tcBorders>
            <w:vAlign w:val="center"/>
          </w:tcPr>
          <w:p w14:paraId="139F2364" w14:textId="77777777" w:rsidR="00E25607" w:rsidRDefault="00000000">
            <w:pPr>
              <w:jc w:val="center"/>
              <w:rPr>
                <w:rFonts w:ascii="宋体" w:hAnsi="宋体" w:cs="宋体" w:hint="eastAsia"/>
                <w:sz w:val="18"/>
                <w:szCs w:val="18"/>
              </w:rPr>
            </w:pPr>
            <w:r>
              <w:rPr>
                <w:rFonts w:ascii="宋体" w:hAnsi="宋体" w:cs="宋体" w:hint="eastAsia"/>
                <w:sz w:val="18"/>
                <w:szCs w:val="18"/>
              </w:rPr>
              <w:t>磷</w:t>
            </w:r>
          </w:p>
        </w:tc>
        <w:tc>
          <w:tcPr>
            <w:tcW w:w="4068" w:type="dxa"/>
            <w:tcBorders>
              <w:left w:val="single" w:sz="4" w:space="0" w:color="000000"/>
              <w:right w:val="single" w:sz="4" w:space="0" w:color="000000"/>
            </w:tcBorders>
            <w:vAlign w:val="center"/>
          </w:tcPr>
          <w:p w14:paraId="5B1D62E8" w14:textId="77777777" w:rsidR="00E25607" w:rsidRDefault="00000000">
            <w:pPr>
              <w:jc w:val="center"/>
              <w:rPr>
                <w:rFonts w:ascii="宋体" w:hAnsi="宋体" w:cs="宋体" w:hint="eastAsia"/>
                <w:sz w:val="18"/>
                <w:szCs w:val="18"/>
              </w:rPr>
            </w:pPr>
            <w:r>
              <w:rPr>
                <w:rFonts w:ascii="宋体" w:hAnsi="宋体" w:cs="宋体" w:hint="eastAsia"/>
                <w:spacing w:val="-3"/>
                <w:sz w:val="18"/>
                <w:szCs w:val="18"/>
              </w:rPr>
              <w:t xml:space="preserve">1.4～1.8 </w:t>
            </w:r>
            <w:r>
              <w:rPr>
                <w:rFonts w:ascii="宋体" w:hAnsi="宋体" w:cs="宋体" w:hint="eastAsia"/>
                <w:spacing w:val="-4"/>
                <w:sz w:val="18"/>
                <w:szCs w:val="18"/>
              </w:rPr>
              <w:t>g/kg</w:t>
            </w:r>
          </w:p>
        </w:tc>
        <w:tc>
          <w:tcPr>
            <w:tcW w:w="2576" w:type="dxa"/>
            <w:vMerge/>
            <w:tcBorders>
              <w:left w:val="single" w:sz="4" w:space="0" w:color="000000"/>
              <w:right w:val="single" w:sz="12" w:space="0" w:color="000000"/>
            </w:tcBorders>
          </w:tcPr>
          <w:p w14:paraId="1168453C" w14:textId="77777777" w:rsidR="00E25607" w:rsidRDefault="00E25607">
            <w:pPr>
              <w:jc w:val="center"/>
              <w:rPr>
                <w:rFonts w:ascii="宋体" w:hAnsi="宋体" w:cs="宋体" w:hint="eastAsia"/>
                <w:sz w:val="18"/>
                <w:szCs w:val="18"/>
              </w:rPr>
            </w:pPr>
          </w:p>
        </w:tc>
      </w:tr>
      <w:tr w:rsidR="00E25607" w14:paraId="06086A56" w14:textId="77777777">
        <w:trPr>
          <w:trHeight w:val="454"/>
        </w:trPr>
        <w:tc>
          <w:tcPr>
            <w:tcW w:w="2174" w:type="dxa"/>
            <w:tcBorders>
              <w:left w:val="single" w:sz="12" w:space="0" w:color="000000"/>
              <w:right w:val="single" w:sz="4" w:space="0" w:color="000000"/>
            </w:tcBorders>
            <w:vAlign w:val="center"/>
          </w:tcPr>
          <w:p w14:paraId="4E5AE314" w14:textId="77777777" w:rsidR="00E25607" w:rsidRDefault="00000000">
            <w:pPr>
              <w:jc w:val="center"/>
              <w:rPr>
                <w:rFonts w:ascii="宋体" w:hAnsi="宋体" w:cs="宋体" w:hint="eastAsia"/>
                <w:sz w:val="18"/>
                <w:szCs w:val="18"/>
              </w:rPr>
            </w:pPr>
            <w:r>
              <w:rPr>
                <w:rFonts w:ascii="宋体" w:hAnsi="宋体" w:cs="宋体" w:hint="eastAsia"/>
                <w:sz w:val="18"/>
                <w:szCs w:val="18"/>
              </w:rPr>
              <w:t>钾</w:t>
            </w:r>
          </w:p>
        </w:tc>
        <w:tc>
          <w:tcPr>
            <w:tcW w:w="4068" w:type="dxa"/>
            <w:tcBorders>
              <w:left w:val="single" w:sz="4" w:space="0" w:color="000000"/>
              <w:right w:val="single" w:sz="4" w:space="0" w:color="000000"/>
            </w:tcBorders>
            <w:vAlign w:val="center"/>
          </w:tcPr>
          <w:p w14:paraId="0FC65FB1" w14:textId="77777777" w:rsidR="00E25607" w:rsidRDefault="00000000">
            <w:pPr>
              <w:jc w:val="center"/>
              <w:rPr>
                <w:rFonts w:ascii="宋体" w:hAnsi="宋体" w:cs="宋体" w:hint="eastAsia"/>
                <w:sz w:val="18"/>
                <w:szCs w:val="18"/>
              </w:rPr>
            </w:pPr>
            <w:r>
              <w:rPr>
                <w:rFonts w:ascii="宋体" w:hAnsi="宋体" w:cs="宋体" w:hint="eastAsia"/>
                <w:spacing w:val="-3"/>
                <w:sz w:val="18"/>
                <w:szCs w:val="18"/>
              </w:rPr>
              <w:t xml:space="preserve">12～18 </w:t>
            </w:r>
            <w:r>
              <w:rPr>
                <w:rFonts w:ascii="宋体" w:hAnsi="宋体" w:cs="宋体" w:hint="eastAsia"/>
                <w:spacing w:val="-4"/>
                <w:sz w:val="18"/>
                <w:szCs w:val="18"/>
              </w:rPr>
              <w:t>g/kg</w:t>
            </w:r>
          </w:p>
        </w:tc>
        <w:tc>
          <w:tcPr>
            <w:tcW w:w="2576" w:type="dxa"/>
            <w:vMerge/>
            <w:tcBorders>
              <w:left w:val="single" w:sz="4" w:space="0" w:color="000000"/>
              <w:right w:val="single" w:sz="12" w:space="0" w:color="000000"/>
            </w:tcBorders>
          </w:tcPr>
          <w:p w14:paraId="4851D295" w14:textId="77777777" w:rsidR="00E25607" w:rsidRDefault="00E25607">
            <w:pPr>
              <w:jc w:val="center"/>
              <w:rPr>
                <w:rFonts w:ascii="宋体" w:hAnsi="宋体" w:cs="宋体" w:hint="eastAsia"/>
                <w:sz w:val="18"/>
                <w:szCs w:val="18"/>
              </w:rPr>
            </w:pPr>
          </w:p>
        </w:tc>
      </w:tr>
      <w:tr w:rsidR="00E25607" w14:paraId="7A29EB02" w14:textId="77777777">
        <w:trPr>
          <w:trHeight w:val="454"/>
        </w:trPr>
        <w:tc>
          <w:tcPr>
            <w:tcW w:w="2174" w:type="dxa"/>
            <w:tcBorders>
              <w:left w:val="single" w:sz="12" w:space="0" w:color="000000"/>
              <w:right w:val="single" w:sz="4" w:space="0" w:color="000000"/>
            </w:tcBorders>
            <w:vAlign w:val="center"/>
          </w:tcPr>
          <w:p w14:paraId="0BE40E4E" w14:textId="77777777" w:rsidR="00E25607" w:rsidRDefault="00000000">
            <w:pPr>
              <w:jc w:val="center"/>
              <w:rPr>
                <w:rFonts w:ascii="宋体" w:hAnsi="宋体" w:cs="宋体" w:hint="eastAsia"/>
                <w:sz w:val="18"/>
                <w:szCs w:val="18"/>
              </w:rPr>
            </w:pPr>
            <w:r>
              <w:rPr>
                <w:rFonts w:ascii="宋体" w:hAnsi="宋体" w:cs="宋体" w:hint="eastAsia"/>
                <w:sz w:val="18"/>
                <w:szCs w:val="18"/>
              </w:rPr>
              <w:t>钙</w:t>
            </w:r>
          </w:p>
        </w:tc>
        <w:tc>
          <w:tcPr>
            <w:tcW w:w="4068" w:type="dxa"/>
            <w:tcBorders>
              <w:left w:val="single" w:sz="4" w:space="0" w:color="000000"/>
              <w:right w:val="single" w:sz="4" w:space="0" w:color="000000"/>
            </w:tcBorders>
            <w:vAlign w:val="center"/>
          </w:tcPr>
          <w:p w14:paraId="47058E7E" w14:textId="77777777" w:rsidR="00E25607" w:rsidRDefault="00000000">
            <w:pPr>
              <w:jc w:val="center"/>
              <w:rPr>
                <w:rFonts w:ascii="宋体" w:hAnsi="宋体" w:cs="宋体" w:hint="eastAsia"/>
                <w:sz w:val="18"/>
                <w:szCs w:val="18"/>
              </w:rPr>
            </w:pPr>
            <w:r>
              <w:rPr>
                <w:rFonts w:ascii="宋体" w:hAnsi="宋体" w:cs="宋体" w:hint="eastAsia"/>
                <w:spacing w:val="-2"/>
                <w:sz w:val="18"/>
                <w:szCs w:val="18"/>
              </w:rPr>
              <w:t xml:space="preserve">25～40 </w:t>
            </w:r>
            <w:r>
              <w:rPr>
                <w:rFonts w:ascii="宋体" w:hAnsi="宋体" w:cs="宋体" w:hint="eastAsia"/>
                <w:spacing w:val="-4"/>
                <w:sz w:val="18"/>
                <w:szCs w:val="18"/>
              </w:rPr>
              <w:t>g/kg</w:t>
            </w:r>
          </w:p>
        </w:tc>
        <w:tc>
          <w:tcPr>
            <w:tcW w:w="2576" w:type="dxa"/>
            <w:vMerge/>
            <w:tcBorders>
              <w:left w:val="single" w:sz="4" w:space="0" w:color="000000"/>
              <w:right w:val="single" w:sz="12" w:space="0" w:color="000000"/>
            </w:tcBorders>
          </w:tcPr>
          <w:p w14:paraId="3B384E8B" w14:textId="77777777" w:rsidR="00E25607" w:rsidRDefault="00E25607">
            <w:pPr>
              <w:jc w:val="center"/>
              <w:rPr>
                <w:rFonts w:ascii="宋体" w:hAnsi="宋体" w:cs="宋体" w:hint="eastAsia"/>
                <w:sz w:val="18"/>
                <w:szCs w:val="18"/>
              </w:rPr>
            </w:pPr>
          </w:p>
        </w:tc>
      </w:tr>
      <w:tr w:rsidR="00E25607" w14:paraId="49C41830" w14:textId="77777777">
        <w:trPr>
          <w:trHeight w:val="454"/>
        </w:trPr>
        <w:tc>
          <w:tcPr>
            <w:tcW w:w="2174" w:type="dxa"/>
            <w:tcBorders>
              <w:left w:val="single" w:sz="12" w:space="0" w:color="000000"/>
              <w:right w:val="single" w:sz="4" w:space="0" w:color="000000"/>
            </w:tcBorders>
            <w:vAlign w:val="center"/>
          </w:tcPr>
          <w:p w14:paraId="352994A1" w14:textId="77777777" w:rsidR="00E25607" w:rsidRDefault="00000000">
            <w:pPr>
              <w:jc w:val="center"/>
              <w:rPr>
                <w:rFonts w:ascii="宋体" w:hAnsi="宋体" w:cs="宋体" w:hint="eastAsia"/>
                <w:sz w:val="18"/>
                <w:szCs w:val="18"/>
              </w:rPr>
            </w:pPr>
            <w:r>
              <w:rPr>
                <w:rFonts w:ascii="宋体" w:hAnsi="宋体" w:cs="宋体" w:hint="eastAsia"/>
                <w:sz w:val="18"/>
                <w:szCs w:val="18"/>
              </w:rPr>
              <w:t>镁</w:t>
            </w:r>
          </w:p>
        </w:tc>
        <w:tc>
          <w:tcPr>
            <w:tcW w:w="4068" w:type="dxa"/>
            <w:tcBorders>
              <w:left w:val="single" w:sz="4" w:space="0" w:color="000000"/>
              <w:right w:val="single" w:sz="4" w:space="0" w:color="000000"/>
            </w:tcBorders>
            <w:vAlign w:val="center"/>
          </w:tcPr>
          <w:p w14:paraId="1737A35B" w14:textId="77777777" w:rsidR="00E25607" w:rsidRDefault="00000000">
            <w:pPr>
              <w:jc w:val="center"/>
              <w:rPr>
                <w:rFonts w:ascii="宋体" w:hAnsi="宋体" w:cs="宋体" w:hint="eastAsia"/>
                <w:sz w:val="18"/>
                <w:szCs w:val="18"/>
              </w:rPr>
            </w:pPr>
            <w:r>
              <w:rPr>
                <w:rFonts w:ascii="宋体" w:hAnsi="宋体" w:cs="宋体" w:hint="eastAsia"/>
                <w:spacing w:val="-2"/>
                <w:sz w:val="18"/>
                <w:szCs w:val="18"/>
              </w:rPr>
              <w:t xml:space="preserve">3.0～6.0 </w:t>
            </w:r>
            <w:r>
              <w:rPr>
                <w:rFonts w:ascii="宋体" w:hAnsi="宋体" w:cs="宋体" w:hint="eastAsia"/>
                <w:spacing w:val="-4"/>
                <w:sz w:val="18"/>
                <w:szCs w:val="18"/>
              </w:rPr>
              <w:t>g/kg</w:t>
            </w:r>
          </w:p>
        </w:tc>
        <w:tc>
          <w:tcPr>
            <w:tcW w:w="2576" w:type="dxa"/>
            <w:vMerge/>
            <w:tcBorders>
              <w:left w:val="single" w:sz="4" w:space="0" w:color="000000"/>
              <w:right w:val="single" w:sz="12" w:space="0" w:color="000000"/>
            </w:tcBorders>
          </w:tcPr>
          <w:p w14:paraId="4C829CBF" w14:textId="77777777" w:rsidR="00E25607" w:rsidRDefault="00E25607">
            <w:pPr>
              <w:jc w:val="center"/>
              <w:rPr>
                <w:rFonts w:ascii="宋体" w:hAnsi="宋体" w:cs="宋体" w:hint="eastAsia"/>
                <w:sz w:val="18"/>
                <w:szCs w:val="18"/>
              </w:rPr>
            </w:pPr>
          </w:p>
        </w:tc>
      </w:tr>
      <w:tr w:rsidR="00E25607" w14:paraId="02C179F1" w14:textId="77777777">
        <w:trPr>
          <w:trHeight w:val="454"/>
        </w:trPr>
        <w:tc>
          <w:tcPr>
            <w:tcW w:w="2174" w:type="dxa"/>
            <w:tcBorders>
              <w:left w:val="single" w:sz="12" w:space="0" w:color="000000"/>
              <w:right w:val="single" w:sz="4" w:space="0" w:color="000000"/>
            </w:tcBorders>
            <w:vAlign w:val="center"/>
          </w:tcPr>
          <w:p w14:paraId="02E0CA40" w14:textId="77777777" w:rsidR="00E25607" w:rsidRDefault="00000000">
            <w:pPr>
              <w:jc w:val="center"/>
              <w:rPr>
                <w:rFonts w:ascii="宋体" w:hAnsi="宋体" w:cs="宋体" w:hint="eastAsia"/>
                <w:sz w:val="18"/>
                <w:szCs w:val="18"/>
              </w:rPr>
            </w:pPr>
            <w:r>
              <w:rPr>
                <w:rFonts w:ascii="宋体" w:hAnsi="宋体" w:cs="宋体" w:hint="eastAsia"/>
                <w:sz w:val="18"/>
                <w:szCs w:val="18"/>
              </w:rPr>
              <w:t>铜</w:t>
            </w:r>
          </w:p>
        </w:tc>
        <w:tc>
          <w:tcPr>
            <w:tcW w:w="4068" w:type="dxa"/>
            <w:tcBorders>
              <w:left w:val="single" w:sz="4" w:space="0" w:color="000000"/>
              <w:right w:val="single" w:sz="4" w:space="0" w:color="000000"/>
            </w:tcBorders>
            <w:vAlign w:val="center"/>
          </w:tcPr>
          <w:p w14:paraId="04BBA071" w14:textId="77777777" w:rsidR="00E25607" w:rsidRDefault="00000000">
            <w:pPr>
              <w:jc w:val="center"/>
              <w:rPr>
                <w:rFonts w:ascii="宋体" w:hAnsi="宋体" w:cs="宋体" w:hint="eastAsia"/>
                <w:sz w:val="18"/>
                <w:szCs w:val="18"/>
              </w:rPr>
            </w:pPr>
            <w:r>
              <w:rPr>
                <w:rFonts w:ascii="宋体" w:hAnsi="宋体" w:cs="宋体" w:hint="eastAsia"/>
                <w:spacing w:val="-2"/>
                <w:sz w:val="18"/>
                <w:szCs w:val="18"/>
              </w:rPr>
              <w:t xml:space="preserve">5～10 </w:t>
            </w:r>
            <w:r>
              <w:rPr>
                <w:rFonts w:ascii="宋体" w:hAnsi="宋体" w:cs="宋体" w:hint="eastAsia"/>
                <w:spacing w:val="-1"/>
                <w:sz w:val="18"/>
                <w:szCs w:val="18"/>
              </w:rPr>
              <w:t>mg/kg</w:t>
            </w:r>
          </w:p>
        </w:tc>
        <w:tc>
          <w:tcPr>
            <w:tcW w:w="2576" w:type="dxa"/>
            <w:vMerge w:val="restart"/>
            <w:tcBorders>
              <w:left w:val="single" w:sz="4" w:space="0" w:color="000000"/>
              <w:right w:val="single" w:sz="12" w:space="0" w:color="000000"/>
            </w:tcBorders>
          </w:tcPr>
          <w:p w14:paraId="2D06C275" w14:textId="77777777" w:rsidR="00E25607" w:rsidRDefault="00E25607">
            <w:pPr>
              <w:spacing w:line="252" w:lineRule="auto"/>
              <w:jc w:val="center"/>
              <w:rPr>
                <w:rFonts w:ascii="宋体" w:hAnsi="宋体" w:cs="宋体" w:hint="eastAsia"/>
                <w:sz w:val="18"/>
                <w:szCs w:val="18"/>
              </w:rPr>
            </w:pPr>
          </w:p>
          <w:p w14:paraId="775EBDD6" w14:textId="77777777" w:rsidR="00E25607" w:rsidRDefault="00E25607">
            <w:pPr>
              <w:spacing w:line="253" w:lineRule="auto"/>
              <w:jc w:val="center"/>
              <w:rPr>
                <w:rFonts w:ascii="宋体" w:hAnsi="宋体" w:cs="宋体" w:hint="eastAsia"/>
                <w:sz w:val="18"/>
                <w:szCs w:val="18"/>
              </w:rPr>
            </w:pPr>
          </w:p>
          <w:p w14:paraId="08A5A64E" w14:textId="77777777" w:rsidR="00E25607" w:rsidRDefault="00E25607">
            <w:pPr>
              <w:spacing w:line="253" w:lineRule="auto"/>
              <w:jc w:val="center"/>
              <w:rPr>
                <w:rFonts w:ascii="宋体" w:hAnsi="宋体" w:cs="宋体" w:hint="eastAsia"/>
                <w:sz w:val="18"/>
                <w:szCs w:val="18"/>
              </w:rPr>
            </w:pPr>
          </w:p>
          <w:p w14:paraId="55E9BB40" w14:textId="77777777" w:rsidR="00E25607" w:rsidRDefault="00000000">
            <w:pPr>
              <w:spacing w:before="48" w:line="214" w:lineRule="auto"/>
              <w:jc w:val="center"/>
              <w:rPr>
                <w:rFonts w:ascii="宋体" w:hAnsi="宋体" w:cs="宋体" w:hint="eastAsia"/>
                <w:sz w:val="18"/>
                <w:szCs w:val="18"/>
              </w:rPr>
            </w:pPr>
            <w:r>
              <w:rPr>
                <w:rFonts w:ascii="宋体" w:hAnsi="宋体" w:cs="宋体" w:hint="eastAsia"/>
                <w:spacing w:val="-1"/>
                <w:sz w:val="18"/>
                <w:szCs w:val="18"/>
              </w:rPr>
              <w:t>mg/kg</w:t>
            </w:r>
          </w:p>
        </w:tc>
      </w:tr>
      <w:tr w:rsidR="00E25607" w14:paraId="5671B913" w14:textId="77777777">
        <w:trPr>
          <w:trHeight w:val="454"/>
        </w:trPr>
        <w:tc>
          <w:tcPr>
            <w:tcW w:w="2174" w:type="dxa"/>
            <w:tcBorders>
              <w:left w:val="single" w:sz="12" w:space="0" w:color="000000"/>
              <w:right w:val="single" w:sz="4" w:space="0" w:color="000000"/>
            </w:tcBorders>
            <w:vAlign w:val="center"/>
          </w:tcPr>
          <w:p w14:paraId="536FD769" w14:textId="77777777" w:rsidR="00E25607" w:rsidRDefault="00000000">
            <w:pPr>
              <w:jc w:val="center"/>
              <w:rPr>
                <w:rFonts w:ascii="宋体" w:hAnsi="宋体" w:cs="宋体" w:hint="eastAsia"/>
                <w:sz w:val="18"/>
                <w:szCs w:val="18"/>
              </w:rPr>
            </w:pPr>
            <w:r>
              <w:rPr>
                <w:rFonts w:ascii="宋体" w:hAnsi="宋体" w:cs="宋体" w:hint="eastAsia"/>
                <w:sz w:val="18"/>
                <w:szCs w:val="18"/>
              </w:rPr>
              <w:t>锌</w:t>
            </w:r>
          </w:p>
        </w:tc>
        <w:tc>
          <w:tcPr>
            <w:tcW w:w="4068" w:type="dxa"/>
            <w:tcBorders>
              <w:left w:val="single" w:sz="4" w:space="0" w:color="000000"/>
              <w:right w:val="single" w:sz="4" w:space="0" w:color="000000"/>
            </w:tcBorders>
            <w:vAlign w:val="center"/>
          </w:tcPr>
          <w:p w14:paraId="04A7AE38" w14:textId="77777777" w:rsidR="00E25607" w:rsidRDefault="00000000">
            <w:pPr>
              <w:jc w:val="center"/>
              <w:rPr>
                <w:rFonts w:ascii="宋体" w:hAnsi="宋体" w:cs="宋体" w:hint="eastAsia"/>
                <w:sz w:val="18"/>
                <w:szCs w:val="18"/>
              </w:rPr>
            </w:pPr>
            <w:r>
              <w:rPr>
                <w:rFonts w:ascii="宋体" w:hAnsi="宋体" w:cs="宋体" w:hint="eastAsia"/>
                <w:spacing w:val="-2"/>
                <w:sz w:val="18"/>
                <w:szCs w:val="18"/>
              </w:rPr>
              <w:t xml:space="preserve">25～100 </w:t>
            </w:r>
            <w:r>
              <w:rPr>
                <w:rFonts w:ascii="宋体" w:hAnsi="宋体" w:cs="宋体" w:hint="eastAsia"/>
                <w:spacing w:val="-1"/>
                <w:sz w:val="18"/>
                <w:szCs w:val="18"/>
              </w:rPr>
              <w:t>mg/kg</w:t>
            </w:r>
          </w:p>
        </w:tc>
        <w:tc>
          <w:tcPr>
            <w:tcW w:w="2576" w:type="dxa"/>
            <w:vMerge/>
            <w:tcBorders>
              <w:left w:val="single" w:sz="4" w:space="0" w:color="000000"/>
              <w:right w:val="single" w:sz="12" w:space="0" w:color="000000"/>
            </w:tcBorders>
          </w:tcPr>
          <w:p w14:paraId="2FD34102" w14:textId="77777777" w:rsidR="00E25607" w:rsidRDefault="00E25607">
            <w:pPr>
              <w:rPr>
                <w:rFonts w:ascii="宋体" w:hAnsi="宋体" w:cs="宋体" w:hint="eastAsia"/>
                <w:sz w:val="18"/>
                <w:szCs w:val="18"/>
              </w:rPr>
            </w:pPr>
          </w:p>
        </w:tc>
      </w:tr>
      <w:tr w:rsidR="00E25607" w14:paraId="2B8E876B" w14:textId="77777777">
        <w:trPr>
          <w:trHeight w:val="454"/>
        </w:trPr>
        <w:tc>
          <w:tcPr>
            <w:tcW w:w="2174" w:type="dxa"/>
            <w:tcBorders>
              <w:left w:val="single" w:sz="12" w:space="0" w:color="000000"/>
              <w:right w:val="single" w:sz="4" w:space="0" w:color="000000"/>
            </w:tcBorders>
            <w:vAlign w:val="center"/>
          </w:tcPr>
          <w:p w14:paraId="63D5F574" w14:textId="77777777" w:rsidR="00E25607" w:rsidRDefault="00000000">
            <w:pPr>
              <w:jc w:val="center"/>
              <w:rPr>
                <w:rFonts w:ascii="宋体" w:hAnsi="宋体" w:cs="宋体" w:hint="eastAsia"/>
                <w:sz w:val="18"/>
                <w:szCs w:val="18"/>
              </w:rPr>
            </w:pPr>
            <w:r>
              <w:rPr>
                <w:rFonts w:ascii="宋体" w:hAnsi="宋体" w:cs="宋体" w:hint="eastAsia"/>
                <w:sz w:val="18"/>
                <w:szCs w:val="18"/>
              </w:rPr>
              <w:t>锰</w:t>
            </w:r>
          </w:p>
        </w:tc>
        <w:tc>
          <w:tcPr>
            <w:tcW w:w="4068" w:type="dxa"/>
            <w:tcBorders>
              <w:left w:val="single" w:sz="4" w:space="0" w:color="000000"/>
              <w:right w:val="single" w:sz="4" w:space="0" w:color="000000"/>
            </w:tcBorders>
            <w:vAlign w:val="center"/>
          </w:tcPr>
          <w:p w14:paraId="22363E08" w14:textId="77777777" w:rsidR="00E25607" w:rsidRDefault="00000000">
            <w:pPr>
              <w:jc w:val="center"/>
              <w:rPr>
                <w:rFonts w:ascii="宋体" w:hAnsi="宋体" w:cs="宋体" w:hint="eastAsia"/>
                <w:sz w:val="18"/>
                <w:szCs w:val="18"/>
              </w:rPr>
            </w:pPr>
            <w:r>
              <w:rPr>
                <w:rFonts w:ascii="宋体" w:hAnsi="宋体" w:cs="宋体" w:hint="eastAsia"/>
                <w:spacing w:val="4"/>
                <w:position w:val="-2"/>
                <w:sz w:val="18"/>
                <w:szCs w:val="18"/>
              </w:rPr>
              <w:t xml:space="preserve">25～100 </w:t>
            </w:r>
            <w:r>
              <w:rPr>
                <w:rFonts w:ascii="宋体" w:hAnsi="宋体" w:cs="宋体" w:hint="eastAsia"/>
                <w:spacing w:val="-1"/>
                <w:sz w:val="18"/>
                <w:szCs w:val="18"/>
              </w:rPr>
              <w:t>mg/kg</w:t>
            </w:r>
          </w:p>
        </w:tc>
        <w:tc>
          <w:tcPr>
            <w:tcW w:w="2576" w:type="dxa"/>
            <w:vMerge/>
            <w:tcBorders>
              <w:left w:val="single" w:sz="4" w:space="0" w:color="000000"/>
              <w:right w:val="single" w:sz="12" w:space="0" w:color="000000"/>
            </w:tcBorders>
          </w:tcPr>
          <w:p w14:paraId="15F6790C" w14:textId="77777777" w:rsidR="00E25607" w:rsidRDefault="00E25607">
            <w:pPr>
              <w:rPr>
                <w:rFonts w:ascii="宋体" w:hAnsi="宋体" w:cs="宋体" w:hint="eastAsia"/>
                <w:sz w:val="18"/>
                <w:szCs w:val="18"/>
              </w:rPr>
            </w:pPr>
          </w:p>
        </w:tc>
      </w:tr>
      <w:tr w:rsidR="00E25607" w14:paraId="02346EEC" w14:textId="77777777">
        <w:trPr>
          <w:trHeight w:val="454"/>
        </w:trPr>
        <w:tc>
          <w:tcPr>
            <w:tcW w:w="2174" w:type="dxa"/>
            <w:tcBorders>
              <w:left w:val="single" w:sz="12" w:space="0" w:color="000000"/>
              <w:right w:val="single" w:sz="4" w:space="0" w:color="000000"/>
            </w:tcBorders>
            <w:vAlign w:val="center"/>
          </w:tcPr>
          <w:p w14:paraId="15EDE758" w14:textId="77777777" w:rsidR="00E25607" w:rsidRDefault="00000000">
            <w:pPr>
              <w:jc w:val="center"/>
              <w:rPr>
                <w:rFonts w:ascii="宋体" w:hAnsi="宋体" w:cs="宋体" w:hint="eastAsia"/>
                <w:sz w:val="18"/>
                <w:szCs w:val="18"/>
              </w:rPr>
            </w:pPr>
            <w:r>
              <w:rPr>
                <w:rFonts w:ascii="宋体" w:hAnsi="宋体" w:cs="宋体" w:hint="eastAsia"/>
                <w:sz w:val="18"/>
                <w:szCs w:val="18"/>
              </w:rPr>
              <w:t>铁</w:t>
            </w:r>
          </w:p>
        </w:tc>
        <w:tc>
          <w:tcPr>
            <w:tcW w:w="4068" w:type="dxa"/>
            <w:tcBorders>
              <w:left w:val="single" w:sz="4" w:space="0" w:color="000000"/>
              <w:right w:val="single" w:sz="4" w:space="0" w:color="000000"/>
            </w:tcBorders>
            <w:vAlign w:val="center"/>
          </w:tcPr>
          <w:p w14:paraId="62D0DBC8" w14:textId="77777777" w:rsidR="00E25607" w:rsidRDefault="00000000">
            <w:pPr>
              <w:jc w:val="center"/>
              <w:rPr>
                <w:rFonts w:ascii="宋体" w:hAnsi="宋体" w:cs="宋体" w:hint="eastAsia"/>
                <w:sz w:val="18"/>
                <w:szCs w:val="18"/>
              </w:rPr>
            </w:pPr>
            <w:r>
              <w:rPr>
                <w:rFonts w:ascii="宋体" w:hAnsi="宋体" w:cs="宋体" w:hint="eastAsia"/>
                <w:spacing w:val="-2"/>
                <w:sz w:val="18"/>
                <w:szCs w:val="18"/>
              </w:rPr>
              <w:t xml:space="preserve">60～120 </w:t>
            </w:r>
            <w:r>
              <w:rPr>
                <w:rFonts w:ascii="宋体" w:hAnsi="宋体" w:cs="宋体" w:hint="eastAsia"/>
                <w:spacing w:val="-1"/>
                <w:sz w:val="18"/>
                <w:szCs w:val="18"/>
              </w:rPr>
              <w:t>mg/kg</w:t>
            </w:r>
          </w:p>
        </w:tc>
        <w:tc>
          <w:tcPr>
            <w:tcW w:w="2576" w:type="dxa"/>
            <w:vMerge/>
            <w:tcBorders>
              <w:left w:val="single" w:sz="4" w:space="0" w:color="000000"/>
              <w:right w:val="single" w:sz="12" w:space="0" w:color="000000"/>
            </w:tcBorders>
          </w:tcPr>
          <w:p w14:paraId="018C6612" w14:textId="77777777" w:rsidR="00E25607" w:rsidRDefault="00E25607">
            <w:pPr>
              <w:rPr>
                <w:rFonts w:ascii="宋体" w:hAnsi="宋体" w:cs="宋体" w:hint="eastAsia"/>
                <w:sz w:val="18"/>
                <w:szCs w:val="18"/>
              </w:rPr>
            </w:pPr>
          </w:p>
        </w:tc>
      </w:tr>
      <w:tr w:rsidR="00E25607" w14:paraId="436172CB" w14:textId="77777777">
        <w:trPr>
          <w:trHeight w:val="454"/>
        </w:trPr>
        <w:tc>
          <w:tcPr>
            <w:tcW w:w="2174" w:type="dxa"/>
            <w:tcBorders>
              <w:left w:val="single" w:sz="12" w:space="0" w:color="000000"/>
              <w:bottom w:val="single" w:sz="12" w:space="0" w:color="000000"/>
              <w:right w:val="single" w:sz="4" w:space="0" w:color="000000"/>
            </w:tcBorders>
            <w:vAlign w:val="center"/>
          </w:tcPr>
          <w:p w14:paraId="309017EC" w14:textId="77777777" w:rsidR="00E25607" w:rsidRDefault="00000000">
            <w:pPr>
              <w:jc w:val="center"/>
              <w:rPr>
                <w:rFonts w:ascii="宋体" w:hAnsi="宋体" w:cs="宋体" w:hint="eastAsia"/>
                <w:sz w:val="18"/>
                <w:szCs w:val="18"/>
              </w:rPr>
            </w:pPr>
            <w:r>
              <w:rPr>
                <w:rFonts w:ascii="宋体" w:hAnsi="宋体" w:cs="宋体" w:hint="eastAsia"/>
                <w:sz w:val="18"/>
                <w:szCs w:val="18"/>
              </w:rPr>
              <w:t>硼</w:t>
            </w:r>
          </w:p>
        </w:tc>
        <w:tc>
          <w:tcPr>
            <w:tcW w:w="4068" w:type="dxa"/>
            <w:tcBorders>
              <w:left w:val="single" w:sz="4" w:space="0" w:color="000000"/>
              <w:bottom w:val="single" w:sz="12" w:space="0" w:color="000000"/>
              <w:right w:val="single" w:sz="4" w:space="0" w:color="000000"/>
            </w:tcBorders>
            <w:vAlign w:val="center"/>
          </w:tcPr>
          <w:p w14:paraId="22F282F3" w14:textId="77777777" w:rsidR="00E25607" w:rsidRDefault="00000000">
            <w:pPr>
              <w:jc w:val="center"/>
              <w:rPr>
                <w:rFonts w:ascii="宋体" w:hAnsi="宋体" w:cs="宋体" w:hint="eastAsia"/>
                <w:sz w:val="18"/>
                <w:szCs w:val="18"/>
              </w:rPr>
            </w:pPr>
            <w:r>
              <w:rPr>
                <w:rFonts w:ascii="宋体" w:hAnsi="宋体" w:cs="宋体" w:hint="eastAsia"/>
                <w:spacing w:val="-2"/>
                <w:sz w:val="18"/>
                <w:szCs w:val="18"/>
              </w:rPr>
              <w:t xml:space="preserve">30～100 </w:t>
            </w:r>
            <w:r>
              <w:rPr>
                <w:rFonts w:ascii="宋体" w:hAnsi="宋体" w:cs="宋体" w:hint="eastAsia"/>
                <w:spacing w:val="-1"/>
                <w:sz w:val="18"/>
                <w:szCs w:val="18"/>
              </w:rPr>
              <w:t>mg/kg</w:t>
            </w:r>
          </w:p>
        </w:tc>
        <w:tc>
          <w:tcPr>
            <w:tcW w:w="2576" w:type="dxa"/>
            <w:vMerge/>
            <w:tcBorders>
              <w:left w:val="single" w:sz="4" w:space="0" w:color="000000"/>
              <w:bottom w:val="single" w:sz="12" w:space="0" w:color="000000"/>
              <w:right w:val="single" w:sz="12" w:space="0" w:color="000000"/>
            </w:tcBorders>
          </w:tcPr>
          <w:p w14:paraId="4C967709" w14:textId="77777777" w:rsidR="00E25607" w:rsidRDefault="00E25607">
            <w:pPr>
              <w:rPr>
                <w:rFonts w:ascii="宋体" w:hAnsi="宋体" w:cs="宋体" w:hint="eastAsia"/>
                <w:sz w:val="18"/>
                <w:szCs w:val="18"/>
              </w:rPr>
            </w:pPr>
          </w:p>
        </w:tc>
      </w:tr>
    </w:tbl>
    <w:p w14:paraId="0C7DA1BA" w14:textId="77777777" w:rsidR="00E25607" w:rsidRDefault="00E25607">
      <w:pPr>
        <w:spacing w:line="117" w:lineRule="exact"/>
      </w:pPr>
    </w:p>
    <w:p w14:paraId="4AB21717" w14:textId="77777777" w:rsidR="00E25607" w:rsidRDefault="00000000">
      <w:pPr>
        <w:pStyle w:val="aff3"/>
        <w:numPr>
          <w:ilvl w:val="0"/>
          <w:numId w:val="0"/>
        </w:numPr>
      </w:pPr>
      <w:r>
        <w:t xml:space="preserve">附  录  </w:t>
      </w:r>
      <w:r>
        <w:rPr>
          <w:rFonts w:hint="eastAsia"/>
        </w:rPr>
        <w:t>B</w:t>
      </w:r>
      <w:r>
        <w:br/>
        <w:t>（资料性附录）</w:t>
      </w:r>
    </w:p>
    <w:p w14:paraId="2D2CA1E0" w14:textId="77777777" w:rsidR="00E25607" w:rsidRDefault="00000000">
      <w:pPr>
        <w:spacing w:before="39" w:line="219" w:lineRule="auto"/>
        <w:jc w:val="center"/>
        <w:rPr>
          <w:rFonts w:ascii="黑体" w:eastAsia="黑体" w:hAnsi="黑体" w:cs="黑体" w:hint="eastAsia"/>
          <w:spacing w:val="-12"/>
        </w:rPr>
      </w:pPr>
      <w:r>
        <w:rPr>
          <w:rFonts w:ascii="黑体" w:eastAsia="黑体" w:hAnsi="黑体" w:cs="黑体" w:hint="eastAsia"/>
          <w:kern w:val="0"/>
          <w:szCs w:val="20"/>
        </w:rPr>
        <w:t>表B.1  香水</w:t>
      </w:r>
      <w:r>
        <w:rPr>
          <w:rFonts w:ascii="黑体" w:eastAsia="黑体" w:hAnsi="黑体" w:cs="黑体" w:hint="eastAsia"/>
          <w:spacing w:val="-12"/>
        </w:rPr>
        <w:t>柠檬园土壤养分含量的适宜参考值</w:t>
      </w:r>
    </w:p>
    <w:p w14:paraId="244AE405" w14:textId="77777777" w:rsidR="00E25607" w:rsidRDefault="00E25607">
      <w:pPr>
        <w:spacing w:line="117" w:lineRule="exact"/>
        <w:rPr>
          <w:rFonts w:ascii="宋体" w:hAnsi="宋体" w:cs="宋体" w:hint="eastAsia"/>
        </w:rPr>
      </w:pP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335"/>
        <w:gridCol w:w="2330"/>
        <w:gridCol w:w="2351"/>
        <w:gridCol w:w="2482"/>
      </w:tblGrid>
      <w:tr w:rsidR="00E25607" w14:paraId="6F40B129" w14:textId="77777777">
        <w:trPr>
          <w:trHeight w:val="454"/>
        </w:trPr>
        <w:tc>
          <w:tcPr>
            <w:tcW w:w="2335" w:type="dxa"/>
            <w:tcBorders>
              <w:top w:val="single" w:sz="12" w:space="0" w:color="000000"/>
              <w:left w:val="single" w:sz="12" w:space="0" w:color="000000"/>
              <w:bottom w:val="single" w:sz="4" w:space="0" w:color="000000"/>
              <w:right w:val="single" w:sz="4" w:space="0" w:color="000000"/>
            </w:tcBorders>
            <w:vAlign w:val="center"/>
          </w:tcPr>
          <w:p w14:paraId="681A5EE4" w14:textId="77777777" w:rsidR="00E25607" w:rsidRDefault="00000000">
            <w:pPr>
              <w:jc w:val="center"/>
              <w:rPr>
                <w:rFonts w:ascii="黑体" w:eastAsia="黑体" w:hAnsi="黑体" w:cs="黑体" w:hint="eastAsia"/>
                <w:spacing w:val="-2"/>
              </w:rPr>
            </w:pPr>
            <w:r>
              <w:rPr>
                <w:rFonts w:ascii="黑体" w:eastAsia="黑体" w:hAnsi="黑体" w:cs="黑体" w:hint="eastAsia"/>
                <w:spacing w:val="-2"/>
              </w:rPr>
              <w:t>元素</w:t>
            </w:r>
          </w:p>
        </w:tc>
        <w:tc>
          <w:tcPr>
            <w:tcW w:w="2330" w:type="dxa"/>
            <w:tcBorders>
              <w:top w:val="single" w:sz="12" w:space="0" w:color="000000"/>
              <w:left w:val="single" w:sz="4" w:space="0" w:color="000000"/>
              <w:bottom w:val="single" w:sz="4" w:space="0" w:color="000000"/>
              <w:right w:val="single" w:sz="4" w:space="0" w:color="000000"/>
            </w:tcBorders>
            <w:vAlign w:val="center"/>
          </w:tcPr>
          <w:p w14:paraId="56B7512E" w14:textId="77777777" w:rsidR="00E25607" w:rsidRDefault="00000000">
            <w:pPr>
              <w:jc w:val="center"/>
              <w:rPr>
                <w:rFonts w:ascii="黑体" w:eastAsia="黑体" w:hAnsi="黑体" w:cs="黑体" w:hint="eastAsia"/>
                <w:spacing w:val="-2"/>
              </w:rPr>
            </w:pPr>
            <w:r>
              <w:rPr>
                <w:rFonts w:ascii="黑体" w:eastAsia="黑体" w:hAnsi="黑体" w:cs="黑体" w:hint="eastAsia"/>
                <w:spacing w:val="-2"/>
              </w:rPr>
              <w:t>适宜标准</w:t>
            </w:r>
          </w:p>
        </w:tc>
        <w:tc>
          <w:tcPr>
            <w:tcW w:w="2351" w:type="dxa"/>
            <w:tcBorders>
              <w:top w:val="single" w:sz="12" w:space="0" w:color="000000"/>
              <w:left w:val="single" w:sz="4" w:space="0" w:color="000000"/>
              <w:bottom w:val="single" w:sz="4" w:space="0" w:color="000000"/>
              <w:right w:val="single" w:sz="4" w:space="0" w:color="000000"/>
            </w:tcBorders>
            <w:vAlign w:val="center"/>
          </w:tcPr>
          <w:p w14:paraId="51B23152" w14:textId="77777777" w:rsidR="00E25607" w:rsidRDefault="00000000">
            <w:pPr>
              <w:jc w:val="center"/>
              <w:rPr>
                <w:rFonts w:ascii="黑体" w:eastAsia="黑体" w:hAnsi="黑体" w:cs="黑体" w:hint="eastAsia"/>
                <w:spacing w:val="-2"/>
              </w:rPr>
            </w:pPr>
            <w:r>
              <w:rPr>
                <w:rFonts w:ascii="黑体" w:eastAsia="黑体" w:hAnsi="黑体" w:cs="黑体" w:hint="eastAsia"/>
                <w:spacing w:val="-2"/>
              </w:rPr>
              <w:t>元素</w:t>
            </w:r>
          </w:p>
        </w:tc>
        <w:tc>
          <w:tcPr>
            <w:tcW w:w="2482" w:type="dxa"/>
            <w:tcBorders>
              <w:top w:val="single" w:sz="12" w:space="0" w:color="000000"/>
              <w:left w:val="single" w:sz="4" w:space="0" w:color="000000"/>
              <w:bottom w:val="single" w:sz="4" w:space="0" w:color="000000"/>
              <w:right w:val="single" w:sz="12" w:space="0" w:color="000000"/>
            </w:tcBorders>
            <w:vAlign w:val="center"/>
          </w:tcPr>
          <w:p w14:paraId="3C1AE7F0" w14:textId="77777777" w:rsidR="00E25607" w:rsidRDefault="00000000">
            <w:pPr>
              <w:jc w:val="center"/>
              <w:rPr>
                <w:rFonts w:ascii="黑体" w:eastAsia="黑体" w:hAnsi="黑体" w:cs="黑体" w:hint="eastAsia"/>
                <w:spacing w:val="-2"/>
              </w:rPr>
            </w:pPr>
            <w:r>
              <w:rPr>
                <w:rFonts w:ascii="黑体" w:eastAsia="黑体" w:hAnsi="黑体" w:cs="黑体" w:hint="eastAsia"/>
                <w:spacing w:val="-2"/>
              </w:rPr>
              <w:t>适宜标准</w:t>
            </w:r>
          </w:p>
        </w:tc>
      </w:tr>
      <w:tr w:rsidR="00E25607" w14:paraId="7B819640" w14:textId="77777777">
        <w:trPr>
          <w:trHeight w:val="454"/>
        </w:trPr>
        <w:tc>
          <w:tcPr>
            <w:tcW w:w="2335" w:type="dxa"/>
            <w:tcBorders>
              <w:top w:val="single" w:sz="4" w:space="0" w:color="000000"/>
              <w:left w:val="single" w:sz="12" w:space="0" w:color="000000"/>
              <w:bottom w:val="single" w:sz="4" w:space="0" w:color="000000"/>
              <w:right w:val="single" w:sz="4" w:space="0" w:color="000000"/>
            </w:tcBorders>
            <w:vAlign w:val="center"/>
          </w:tcPr>
          <w:p w14:paraId="1FD95CF8" w14:textId="77777777" w:rsidR="00E25607" w:rsidRDefault="00000000">
            <w:pPr>
              <w:jc w:val="center"/>
              <w:rPr>
                <w:rFonts w:ascii="宋体" w:hAnsi="宋体" w:cs="宋体" w:hint="eastAsia"/>
                <w:sz w:val="18"/>
                <w:szCs w:val="18"/>
              </w:rPr>
            </w:pPr>
            <w:r>
              <w:rPr>
                <w:rFonts w:ascii="宋体" w:hAnsi="宋体" w:cs="宋体" w:hint="eastAsia"/>
                <w:spacing w:val="-2"/>
                <w:sz w:val="18"/>
                <w:szCs w:val="18"/>
              </w:rPr>
              <w:t>有机质，%</w:t>
            </w:r>
          </w:p>
        </w:tc>
        <w:tc>
          <w:tcPr>
            <w:tcW w:w="2330" w:type="dxa"/>
            <w:tcBorders>
              <w:top w:val="single" w:sz="4" w:space="0" w:color="000000"/>
              <w:left w:val="single" w:sz="4" w:space="0" w:color="000000"/>
              <w:bottom w:val="single" w:sz="4" w:space="0" w:color="000000"/>
              <w:right w:val="single" w:sz="4" w:space="0" w:color="000000"/>
            </w:tcBorders>
            <w:vAlign w:val="center"/>
          </w:tcPr>
          <w:p w14:paraId="70D05F4C" w14:textId="77777777" w:rsidR="00E25607" w:rsidRDefault="00000000">
            <w:pPr>
              <w:jc w:val="center"/>
              <w:rPr>
                <w:rFonts w:ascii="宋体" w:hAnsi="宋体" w:cs="宋体" w:hint="eastAsia"/>
                <w:sz w:val="18"/>
                <w:szCs w:val="18"/>
              </w:rPr>
            </w:pPr>
            <w:r>
              <w:rPr>
                <w:rFonts w:ascii="宋体" w:hAnsi="宋体" w:cs="宋体" w:hint="eastAsia"/>
                <w:spacing w:val="-2"/>
                <w:sz w:val="18"/>
                <w:szCs w:val="18"/>
              </w:rPr>
              <w:t>1.5～3.0</w:t>
            </w:r>
          </w:p>
        </w:tc>
        <w:tc>
          <w:tcPr>
            <w:tcW w:w="2351" w:type="dxa"/>
            <w:tcBorders>
              <w:top w:val="single" w:sz="4" w:space="0" w:color="000000"/>
              <w:left w:val="single" w:sz="4" w:space="0" w:color="000000"/>
              <w:bottom w:val="single" w:sz="4" w:space="0" w:color="000000"/>
              <w:right w:val="single" w:sz="4" w:space="0" w:color="000000"/>
            </w:tcBorders>
            <w:vAlign w:val="center"/>
          </w:tcPr>
          <w:p w14:paraId="04E4D236" w14:textId="77777777" w:rsidR="00E25607" w:rsidRDefault="00000000">
            <w:pPr>
              <w:jc w:val="center"/>
              <w:rPr>
                <w:rFonts w:ascii="宋体" w:hAnsi="宋体" w:cs="宋体" w:hint="eastAsia"/>
                <w:sz w:val="18"/>
                <w:szCs w:val="18"/>
              </w:rPr>
            </w:pPr>
            <w:r>
              <w:rPr>
                <w:rFonts w:ascii="宋体" w:hAnsi="宋体" w:cs="宋体" w:hint="eastAsia"/>
                <w:spacing w:val="-2"/>
                <w:sz w:val="18"/>
                <w:szCs w:val="18"/>
              </w:rPr>
              <w:t>有效铁，mg</w:t>
            </w:r>
            <w:r>
              <w:rPr>
                <w:rFonts w:ascii="宋体" w:hAnsi="宋体" w:cs="宋体" w:hint="eastAsia"/>
                <w:spacing w:val="10"/>
                <w:sz w:val="18"/>
                <w:szCs w:val="18"/>
              </w:rPr>
              <w:t>/</w:t>
            </w:r>
            <w:r>
              <w:rPr>
                <w:rFonts w:ascii="宋体" w:hAnsi="宋体" w:cs="宋体" w:hint="eastAsia"/>
                <w:spacing w:val="-2"/>
                <w:sz w:val="18"/>
                <w:szCs w:val="18"/>
              </w:rPr>
              <w:t>kg</w:t>
            </w:r>
          </w:p>
        </w:tc>
        <w:tc>
          <w:tcPr>
            <w:tcW w:w="2482" w:type="dxa"/>
            <w:tcBorders>
              <w:top w:val="single" w:sz="4" w:space="0" w:color="000000"/>
              <w:left w:val="single" w:sz="4" w:space="0" w:color="000000"/>
              <w:bottom w:val="single" w:sz="4" w:space="0" w:color="000000"/>
              <w:right w:val="single" w:sz="12" w:space="0" w:color="000000"/>
            </w:tcBorders>
            <w:vAlign w:val="center"/>
          </w:tcPr>
          <w:p w14:paraId="59610ECC" w14:textId="77777777" w:rsidR="00E25607" w:rsidRDefault="00000000">
            <w:pPr>
              <w:jc w:val="center"/>
              <w:rPr>
                <w:rFonts w:ascii="宋体" w:hAnsi="宋体" w:cs="宋体" w:hint="eastAsia"/>
                <w:sz w:val="18"/>
                <w:szCs w:val="18"/>
              </w:rPr>
            </w:pPr>
            <w:r>
              <w:rPr>
                <w:rFonts w:ascii="宋体" w:hAnsi="宋体" w:cs="宋体" w:hint="eastAsia"/>
                <w:spacing w:val="-1"/>
                <w:sz w:val="18"/>
                <w:szCs w:val="18"/>
              </w:rPr>
              <w:t>25～110</w:t>
            </w:r>
          </w:p>
        </w:tc>
      </w:tr>
      <w:tr w:rsidR="00E25607" w14:paraId="7D66DAD0" w14:textId="77777777">
        <w:trPr>
          <w:trHeight w:val="454"/>
        </w:trPr>
        <w:tc>
          <w:tcPr>
            <w:tcW w:w="2335" w:type="dxa"/>
            <w:tcBorders>
              <w:top w:val="single" w:sz="4" w:space="0" w:color="000000"/>
              <w:left w:val="single" w:sz="12" w:space="0" w:color="000000"/>
              <w:bottom w:val="single" w:sz="4" w:space="0" w:color="000000"/>
              <w:right w:val="single" w:sz="4" w:space="0" w:color="000000"/>
            </w:tcBorders>
            <w:vAlign w:val="center"/>
          </w:tcPr>
          <w:p w14:paraId="356E15E7" w14:textId="77777777" w:rsidR="00E25607" w:rsidRDefault="00000000">
            <w:pPr>
              <w:jc w:val="center"/>
              <w:rPr>
                <w:rFonts w:ascii="宋体" w:hAnsi="宋体" w:cs="宋体" w:hint="eastAsia"/>
                <w:sz w:val="18"/>
                <w:szCs w:val="18"/>
              </w:rPr>
            </w:pPr>
            <w:r>
              <w:rPr>
                <w:rFonts w:ascii="宋体" w:hAnsi="宋体" w:cs="宋体" w:hint="eastAsia"/>
                <w:spacing w:val="-2"/>
                <w:sz w:val="18"/>
                <w:szCs w:val="18"/>
              </w:rPr>
              <w:t>全氮，%</w:t>
            </w:r>
          </w:p>
        </w:tc>
        <w:tc>
          <w:tcPr>
            <w:tcW w:w="2330" w:type="dxa"/>
            <w:tcBorders>
              <w:top w:val="single" w:sz="4" w:space="0" w:color="000000"/>
              <w:left w:val="single" w:sz="4" w:space="0" w:color="000000"/>
              <w:bottom w:val="single" w:sz="4" w:space="0" w:color="000000"/>
              <w:right w:val="single" w:sz="4" w:space="0" w:color="000000"/>
            </w:tcBorders>
            <w:vAlign w:val="center"/>
          </w:tcPr>
          <w:p w14:paraId="5B4B141C" w14:textId="77777777" w:rsidR="00E25607" w:rsidRDefault="00000000">
            <w:pPr>
              <w:jc w:val="center"/>
              <w:rPr>
                <w:rFonts w:ascii="宋体" w:hAnsi="宋体" w:cs="宋体" w:hint="eastAsia"/>
                <w:sz w:val="18"/>
                <w:szCs w:val="18"/>
              </w:rPr>
            </w:pPr>
            <w:r>
              <w:rPr>
                <w:rFonts w:ascii="宋体" w:hAnsi="宋体" w:cs="宋体" w:hint="eastAsia"/>
                <w:spacing w:val="-1"/>
                <w:sz w:val="18"/>
                <w:szCs w:val="18"/>
              </w:rPr>
              <w:t>0.10～0.15</w:t>
            </w:r>
          </w:p>
        </w:tc>
        <w:tc>
          <w:tcPr>
            <w:tcW w:w="2351" w:type="dxa"/>
            <w:tcBorders>
              <w:top w:val="single" w:sz="4" w:space="0" w:color="000000"/>
              <w:left w:val="single" w:sz="4" w:space="0" w:color="000000"/>
              <w:bottom w:val="single" w:sz="4" w:space="0" w:color="000000"/>
              <w:right w:val="single" w:sz="4" w:space="0" w:color="000000"/>
            </w:tcBorders>
            <w:vAlign w:val="center"/>
          </w:tcPr>
          <w:p w14:paraId="6A4F642A" w14:textId="77777777" w:rsidR="00E25607" w:rsidRDefault="00000000">
            <w:pPr>
              <w:jc w:val="center"/>
              <w:rPr>
                <w:rFonts w:ascii="宋体" w:hAnsi="宋体" w:cs="宋体" w:hint="eastAsia"/>
                <w:sz w:val="18"/>
                <w:szCs w:val="18"/>
              </w:rPr>
            </w:pPr>
            <w:r>
              <w:rPr>
                <w:rFonts w:ascii="宋体" w:hAnsi="宋体" w:cs="宋体" w:hint="eastAsia"/>
                <w:spacing w:val="-2"/>
                <w:sz w:val="18"/>
                <w:szCs w:val="18"/>
              </w:rPr>
              <w:t>有效锌，mg</w:t>
            </w:r>
            <w:r>
              <w:rPr>
                <w:rFonts w:ascii="宋体" w:hAnsi="宋体" w:cs="宋体" w:hint="eastAsia"/>
                <w:spacing w:val="10"/>
                <w:sz w:val="18"/>
                <w:szCs w:val="18"/>
              </w:rPr>
              <w:t>/</w:t>
            </w:r>
            <w:r>
              <w:rPr>
                <w:rFonts w:ascii="宋体" w:hAnsi="宋体" w:cs="宋体" w:hint="eastAsia"/>
                <w:spacing w:val="-2"/>
                <w:sz w:val="18"/>
                <w:szCs w:val="18"/>
              </w:rPr>
              <w:t>kg</w:t>
            </w:r>
          </w:p>
        </w:tc>
        <w:tc>
          <w:tcPr>
            <w:tcW w:w="2482" w:type="dxa"/>
            <w:tcBorders>
              <w:top w:val="single" w:sz="4" w:space="0" w:color="000000"/>
              <w:left w:val="single" w:sz="4" w:space="0" w:color="000000"/>
              <w:bottom w:val="single" w:sz="4" w:space="0" w:color="000000"/>
              <w:right w:val="single" w:sz="12" w:space="0" w:color="000000"/>
            </w:tcBorders>
            <w:vAlign w:val="center"/>
          </w:tcPr>
          <w:p w14:paraId="02C291FA" w14:textId="77777777" w:rsidR="00E25607" w:rsidRDefault="00000000">
            <w:pPr>
              <w:jc w:val="center"/>
              <w:rPr>
                <w:rFonts w:ascii="宋体" w:hAnsi="宋体" w:cs="宋体" w:hint="eastAsia"/>
                <w:sz w:val="18"/>
                <w:szCs w:val="18"/>
              </w:rPr>
            </w:pPr>
            <w:r>
              <w:rPr>
                <w:rFonts w:ascii="宋体" w:hAnsi="宋体" w:cs="宋体" w:hint="eastAsia"/>
                <w:spacing w:val="-2"/>
                <w:sz w:val="18"/>
                <w:szCs w:val="18"/>
              </w:rPr>
              <w:t>2～8</w:t>
            </w:r>
          </w:p>
        </w:tc>
      </w:tr>
      <w:tr w:rsidR="00E25607" w14:paraId="4AE5F71B" w14:textId="77777777">
        <w:trPr>
          <w:trHeight w:val="454"/>
        </w:trPr>
        <w:tc>
          <w:tcPr>
            <w:tcW w:w="2335" w:type="dxa"/>
            <w:tcBorders>
              <w:top w:val="single" w:sz="4" w:space="0" w:color="000000"/>
              <w:left w:val="single" w:sz="12" w:space="0" w:color="000000"/>
              <w:bottom w:val="single" w:sz="4" w:space="0" w:color="000000"/>
              <w:right w:val="single" w:sz="4" w:space="0" w:color="000000"/>
            </w:tcBorders>
            <w:vAlign w:val="center"/>
          </w:tcPr>
          <w:p w14:paraId="6DE56A34" w14:textId="77777777" w:rsidR="00E25607" w:rsidRDefault="00000000">
            <w:pPr>
              <w:jc w:val="center"/>
              <w:rPr>
                <w:rFonts w:ascii="宋体" w:hAnsi="宋体" w:cs="宋体" w:hint="eastAsia"/>
                <w:sz w:val="18"/>
                <w:szCs w:val="18"/>
              </w:rPr>
            </w:pPr>
            <w:r>
              <w:rPr>
                <w:rFonts w:ascii="宋体" w:hAnsi="宋体" w:cs="宋体" w:hint="eastAsia"/>
                <w:spacing w:val="-2"/>
                <w:sz w:val="18"/>
                <w:szCs w:val="18"/>
              </w:rPr>
              <w:t>水解氮，mg</w:t>
            </w:r>
            <w:r>
              <w:rPr>
                <w:rFonts w:ascii="宋体" w:hAnsi="宋体" w:cs="宋体" w:hint="eastAsia"/>
                <w:spacing w:val="9"/>
                <w:sz w:val="18"/>
                <w:szCs w:val="18"/>
              </w:rPr>
              <w:t>/</w:t>
            </w:r>
            <w:r>
              <w:rPr>
                <w:rFonts w:ascii="宋体" w:hAnsi="宋体" w:cs="宋体" w:hint="eastAsia"/>
                <w:spacing w:val="-2"/>
                <w:sz w:val="18"/>
                <w:szCs w:val="18"/>
              </w:rPr>
              <w:t>kg</w:t>
            </w:r>
          </w:p>
        </w:tc>
        <w:tc>
          <w:tcPr>
            <w:tcW w:w="2330" w:type="dxa"/>
            <w:tcBorders>
              <w:top w:val="single" w:sz="4" w:space="0" w:color="000000"/>
              <w:left w:val="single" w:sz="4" w:space="0" w:color="000000"/>
              <w:bottom w:val="single" w:sz="4" w:space="0" w:color="000000"/>
              <w:right w:val="single" w:sz="4" w:space="0" w:color="000000"/>
            </w:tcBorders>
            <w:vAlign w:val="center"/>
          </w:tcPr>
          <w:p w14:paraId="15283B6A" w14:textId="77777777" w:rsidR="00E25607" w:rsidRDefault="00000000">
            <w:pPr>
              <w:jc w:val="center"/>
              <w:rPr>
                <w:rFonts w:ascii="宋体" w:hAnsi="宋体" w:cs="宋体" w:hint="eastAsia"/>
                <w:sz w:val="18"/>
                <w:szCs w:val="18"/>
              </w:rPr>
            </w:pPr>
            <w:r>
              <w:rPr>
                <w:rFonts w:ascii="宋体" w:hAnsi="宋体" w:cs="宋体" w:hint="eastAsia"/>
                <w:spacing w:val="-2"/>
                <w:sz w:val="18"/>
                <w:szCs w:val="18"/>
              </w:rPr>
              <w:t>100～200</w:t>
            </w:r>
          </w:p>
        </w:tc>
        <w:tc>
          <w:tcPr>
            <w:tcW w:w="2351" w:type="dxa"/>
            <w:tcBorders>
              <w:top w:val="single" w:sz="4" w:space="0" w:color="000000"/>
              <w:left w:val="single" w:sz="4" w:space="0" w:color="000000"/>
              <w:bottom w:val="single" w:sz="4" w:space="0" w:color="000000"/>
              <w:right w:val="single" w:sz="4" w:space="0" w:color="000000"/>
            </w:tcBorders>
            <w:vAlign w:val="center"/>
          </w:tcPr>
          <w:p w14:paraId="437C01FD" w14:textId="77777777" w:rsidR="00E25607" w:rsidRDefault="00000000">
            <w:pPr>
              <w:jc w:val="center"/>
              <w:rPr>
                <w:rFonts w:ascii="宋体" w:hAnsi="宋体" w:cs="宋体" w:hint="eastAsia"/>
                <w:sz w:val="18"/>
                <w:szCs w:val="18"/>
              </w:rPr>
            </w:pPr>
            <w:r>
              <w:rPr>
                <w:rFonts w:ascii="宋体" w:hAnsi="宋体" w:cs="宋体" w:hint="eastAsia"/>
                <w:spacing w:val="-1"/>
                <w:sz w:val="18"/>
                <w:szCs w:val="18"/>
              </w:rPr>
              <w:t>代换性锰，mg</w:t>
            </w:r>
            <w:r>
              <w:rPr>
                <w:rFonts w:ascii="宋体" w:hAnsi="宋体" w:cs="宋体" w:hint="eastAsia"/>
                <w:spacing w:val="5"/>
                <w:sz w:val="18"/>
                <w:szCs w:val="18"/>
              </w:rPr>
              <w:t>/</w:t>
            </w:r>
            <w:r>
              <w:rPr>
                <w:rFonts w:ascii="宋体" w:hAnsi="宋体" w:cs="宋体" w:hint="eastAsia"/>
                <w:spacing w:val="-1"/>
                <w:sz w:val="18"/>
                <w:szCs w:val="18"/>
              </w:rPr>
              <w:t>kg</w:t>
            </w:r>
          </w:p>
        </w:tc>
        <w:tc>
          <w:tcPr>
            <w:tcW w:w="2482" w:type="dxa"/>
            <w:tcBorders>
              <w:top w:val="single" w:sz="4" w:space="0" w:color="000000"/>
              <w:left w:val="single" w:sz="4" w:space="0" w:color="000000"/>
              <w:bottom w:val="single" w:sz="4" w:space="0" w:color="000000"/>
              <w:right w:val="single" w:sz="12" w:space="0" w:color="000000"/>
            </w:tcBorders>
            <w:vAlign w:val="center"/>
          </w:tcPr>
          <w:p w14:paraId="07650E65" w14:textId="77777777" w:rsidR="00E25607" w:rsidRDefault="00000000">
            <w:pPr>
              <w:jc w:val="center"/>
              <w:rPr>
                <w:rFonts w:ascii="宋体" w:hAnsi="宋体" w:cs="宋体" w:hint="eastAsia"/>
                <w:sz w:val="18"/>
                <w:szCs w:val="18"/>
              </w:rPr>
            </w:pPr>
            <w:r>
              <w:rPr>
                <w:rFonts w:ascii="宋体" w:hAnsi="宋体" w:cs="宋体" w:hint="eastAsia"/>
                <w:spacing w:val="-2"/>
                <w:sz w:val="18"/>
                <w:szCs w:val="18"/>
              </w:rPr>
              <w:t>3～8</w:t>
            </w:r>
          </w:p>
        </w:tc>
      </w:tr>
      <w:tr w:rsidR="00E25607" w14:paraId="3679BF32" w14:textId="77777777">
        <w:trPr>
          <w:trHeight w:val="454"/>
        </w:trPr>
        <w:tc>
          <w:tcPr>
            <w:tcW w:w="2335" w:type="dxa"/>
            <w:tcBorders>
              <w:top w:val="single" w:sz="4" w:space="0" w:color="000000"/>
              <w:left w:val="single" w:sz="12" w:space="0" w:color="000000"/>
              <w:bottom w:val="single" w:sz="4" w:space="0" w:color="000000"/>
              <w:right w:val="single" w:sz="4" w:space="0" w:color="000000"/>
            </w:tcBorders>
            <w:vAlign w:val="center"/>
          </w:tcPr>
          <w:p w14:paraId="7345AC69" w14:textId="77777777" w:rsidR="00E25607" w:rsidRDefault="00000000">
            <w:pPr>
              <w:jc w:val="center"/>
              <w:rPr>
                <w:rFonts w:ascii="宋体" w:hAnsi="宋体" w:cs="宋体" w:hint="eastAsia"/>
                <w:sz w:val="18"/>
                <w:szCs w:val="18"/>
              </w:rPr>
            </w:pPr>
            <w:r>
              <w:rPr>
                <w:rFonts w:ascii="宋体" w:hAnsi="宋体" w:cs="宋体" w:hint="eastAsia"/>
                <w:spacing w:val="-1"/>
                <w:sz w:val="18"/>
                <w:szCs w:val="18"/>
              </w:rPr>
              <w:t>速效磷，mg</w:t>
            </w:r>
            <w:r>
              <w:rPr>
                <w:rFonts w:ascii="宋体" w:hAnsi="宋体" w:cs="宋体" w:hint="eastAsia"/>
                <w:spacing w:val="4"/>
                <w:sz w:val="18"/>
                <w:szCs w:val="18"/>
              </w:rPr>
              <w:t>/</w:t>
            </w:r>
            <w:r>
              <w:rPr>
                <w:rFonts w:ascii="宋体" w:hAnsi="宋体" w:cs="宋体" w:hint="eastAsia"/>
                <w:spacing w:val="-1"/>
                <w:sz w:val="18"/>
                <w:szCs w:val="18"/>
              </w:rPr>
              <w:t>kg</w:t>
            </w:r>
          </w:p>
        </w:tc>
        <w:tc>
          <w:tcPr>
            <w:tcW w:w="2330" w:type="dxa"/>
            <w:tcBorders>
              <w:top w:val="single" w:sz="4" w:space="0" w:color="000000"/>
              <w:left w:val="single" w:sz="4" w:space="0" w:color="000000"/>
              <w:bottom w:val="single" w:sz="4" w:space="0" w:color="000000"/>
              <w:right w:val="single" w:sz="4" w:space="0" w:color="000000"/>
            </w:tcBorders>
            <w:vAlign w:val="center"/>
          </w:tcPr>
          <w:p w14:paraId="52F41DAC" w14:textId="77777777" w:rsidR="00E25607" w:rsidRDefault="00000000">
            <w:pPr>
              <w:jc w:val="center"/>
              <w:rPr>
                <w:rFonts w:ascii="宋体" w:hAnsi="宋体" w:cs="宋体" w:hint="eastAsia"/>
                <w:sz w:val="18"/>
                <w:szCs w:val="18"/>
              </w:rPr>
            </w:pPr>
            <w:r>
              <w:rPr>
                <w:rFonts w:ascii="宋体" w:hAnsi="宋体" w:cs="宋体" w:hint="eastAsia"/>
                <w:spacing w:val="-3"/>
                <w:sz w:val="18"/>
                <w:szCs w:val="18"/>
              </w:rPr>
              <w:t>10～40</w:t>
            </w:r>
          </w:p>
        </w:tc>
        <w:tc>
          <w:tcPr>
            <w:tcW w:w="2351" w:type="dxa"/>
            <w:tcBorders>
              <w:top w:val="single" w:sz="4" w:space="0" w:color="000000"/>
              <w:left w:val="single" w:sz="4" w:space="0" w:color="000000"/>
              <w:bottom w:val="single" w:sz="4" w:space="0" w:color="000000"/>
              <w:right w:val="single" w:sz="4" w:space="0" w:color="000000"/>
            </w:tcBorders>
            <w:vAlign w:val="center"/>
          </w:tcPr>
          <w:p w14:paraId="7A232E1E" w14:textId="77777777" w:rsidR="00E25607" w:rsidRDefault="00000000">
            <w:pPr>
              <w:jc w:val="center"/>
              <w:rPr>
                <w:rFonts w:ascii="宋体" w:hAnsi="宋体" w:cs="宋体" w:hint="eastAsia"/>
                <w:sz w:val="18"/>
                <w:szCs w:val="18"/>
              </w:rPr>
            </w:pPr>
            <w:r>
              <w:rPr>
                <w:rFonts w:ascii="宋体" w:hAnsi="宋体" w:cs="宋体" w:hint="eastAsia"/>
                <w:spacing w:val="-1"/>
                <w:sz w:val="18"/>
                <w:szCs w:val="18"/>
              </w:rPr>
              <w:t>易还原性锰，mg/kg</w:t>
            </w:r>
          </w:p>
        </w:tc>
        <w:tc>
          <w:tcPr>
            <w:tcW w:w="2482" w:type="dxa"/>
            <w:tcBorders>
              <w:top w:val="single" w:sz="4" w:space="0" w:color="000000"/>
              <w:left w:val="single" w:sz="4" w:space="0" w:color="000000"/>
              <w:bottom w:val="single" w:sz="4" w:space="0" w:color="000000"/>
              <w:right w:val="single" w:sz="12" w:space="0" w:color="000000"/>
            </w:tcBorders>
            <w:vAlign w:val="center"/>
          </w:tcPr>
          <w:p w14:paraId="32AD1E8C" w14:textId="77777777" w:rsidR="00E25607" w:rsidRDefault="00000000">
            <w:pPr>
              <w:jc w:val="center"/>
              <w:rPr>
                <w:rFonts w:ascii="宋体" w:hAnsi="宋体" w:cs="宋体" w:hint="eastAsia"/>
                <w:sz w:val="18"/>
                <w:szCs w:val="18"/>
              </w:rPr>
            </w:pPr>
            <w:r>
              <w:rPr>
                <w:rFonts w:ascii="宋体" w:hAnsi="宋体" w:cs="宋体" w:hint="eastAsia"/>
                <w:spacing w:val="-2"/>
                <w:sz w:val="18"/>
                <w:szCs w:val="18"/>
              </w:rPr>
              <w:t>100～200</w:t>
            </w:r>
          </w:p>
        </w:tc>
      </w:tr>
      <w:tr w:rsidR="00E25607" w14:paraId="701158FE" w14:textId="77777777">
        <w:trPr>
          <w:trHeight w:val="454"/>
        </w:trPr>
        <w:tc>
          <w:tcPr>
            <w:tcW w:w="2335" w:type="dxa"/>
            <w:tcBorders>
              <w:top w:val="single" w:sz="4" w:space="0" w:color="000000"/>
              <w:left w:val="single" w:sz="12" w:space="0" w:color="000000"/>
              <w:bottom w:val="single" w:sz="4" w:space="0" w:color="000000"/>
              <w:right w:val="single" w:sz="4" w:space="0" w:color="000000"/>
            </w:tcBorders>
            <w:vAlign w:val="center"/>
          </w:tcPr>
          <w:p w14:paraId="77A8AEF0" w14:textId="77777777" w:rsidR="00E25607" w:rsidRDefault="00000000">
            <w:pPr>
              <w:jc w:val="center"/>
              <w:rPr>
                <w:rFonts w:ascii="宋体" w:hAnsi="宋体" w:cs="宋体" w:hint="eastAsia"/>
                <w:sz w:val="18"/>
                <w:szCs w:val="18"/>
              </w:rPr>
            </w:pPr>
            <w:r>
              <w:rPr>
                <w:rFonts w:ascii="宋体" w:hAnsi="宋体" w:cs="宋体" w:hint="eastAsia"/>
                <w:spacing w:val="-1"/>
                <w:sz w:val="18"/>
                <w:szCs w:val="18"/>
              </w:rPr>
              <w:t>速效钾，mg</w:t>
            </w:r>
            <w:r>
              <w:rPr>
                <w:rFonts w:ascii="宋体" w:hAnsi="宋体" w:cs="宋体" w:hint="eastAsia"/>
                <w:spacing w:val="4"/>
                <w:sz w:val="18"/>
                <w:szCs w:val="18"/>
              </w:rPr>
              <w:t>/</w:t>
            </w:r>
            <w:r>
              <w:rPr>
                <w:rFonts w:ascii="宋体" w:hAnsi="宋体" w:cs="宋体" w:hint="eastAsia"/>
                <w:spacing w:val="-1"/>
                <w:sz w:val="18"/>
                <w:szCs w:val="18"/>
              </w:rPr>
              <w:t>kg</w:t>
            </w:r>
          </w:p>
        </w:tc>
        <w:tc>
          <w:tcPr>
            <w:tcW w:w="2330" w:type="dxa"/>
            <w:tcBorders>
              <w:top w:val="single" w:sz="4" w:space="0" w:color="000000"/>
              <w:left w:val="single" w:sz="4" w:space="0" w:color="000000"/>
              <w:bottom w:val="single" w:sz="4" w:space="0" w:color="000000"/>
              <w:right w:val="single" w:sz="4" w:space="0" w:color="000000"/>
            </w:tcBorders>
            <w:vAlign w:val="center"/>
          </w:tcPr>
          <w:p w14:paraId="1D4C1BDC" w14:textId="77777777" w:rsidR="00E25607" w:rsidRDefault="00000000">
            <w:pPr>
              <w:jc w:val="center"/>
              <w:rPr>
                <w:rFonts w:ascii="宋体" w:hAnsi="宋体" w:cs="宋体" w:hint="eastAsia"/>
                <w:sz w:val="18"/>
                <w:szCs w:val="18"/>
              </w:rPr>
            </w:pPr>
            <w:r>
              <w:rPr>
                <w:rFonts w:ascii="宋体" w:hAnsi="宋体" w:cs="宋体" w:hint="eastAsia"/>
                <w:spacing w:val="-3"/>
                <w:sz w:val="18"/>
                <w:szCs w:val="18"/>
              </w:rPr>
              <w:t>100～300</w:t>
            </w:r>
          </w:p>
        </w:tc>
        <w:tc>
          <w:tcPr>
            <w:tcW w:w="2351" w:type="dxa"/>
            <w:tcBorders>
              <w:top w:val="single" w:sz="4" w:space="0" w:color="000000"/>
              <w:left w:val="single" w:sz="4" w:space="0" w:color="000000"/>
              <w:bottom w:val="single" w:sz="4" w:space="0" w:color="000000"/>
              <w:right w:val="single" w:sz="4" w:space="0" w:color="000000"/>
            </w:tcBorders>
            <w:vAlign w:val="center"/>
          </w:tcPr>
          <w:p w14:paraId="0BD58557" w14:textId="77777777" w:rsidR="00E25607" w:rsidRDefault="00000000">
            <w:pPr>
              <w:jc w:val="center"/>
              <w:rPr>
                <w:rFonts w:ascii="宋体" w:hAnsi="宋体" w:cs="宋体" w:hint="eastAsia"/>
                <w:sz w:val="18"/>
                <w:szCs w:val="18"/>
              </w:rPr>
            </w:pPr>
            <w:r>
              <w:rPr>
                <w:rFonts w:ascii="宋体" w:hAnsi="宋体" w:cs="宋体" w:hint="eastAsia"/>
                <w:spacing w:val="-2"/>
                <w:sz w:val="18"/>
                <w:szCs w:val="18"/>
              </w:rPr>
              <w:t>有效铜，mg</w:t>
            </w:r>
            <w:r>
              <w:rPr>
                <w:rFonts w:ascii="宋体" w:hAnsi="宋体" w:cs="宋体" w:hint="eastAsia"/>
                <w:spacing w:val="10"/>
                <w:sz w:val="18"/>
                <w:szCs w:val="18"/>
              </w:rPr>
              <w:t>/</w:t>
            </w:r>
            <w:r>
              <w:rPr>
                <w:rFonts w:ascii="宋体" w:hAnsi="宋体" w:cs="宋体" w:hint="eastAsia"/>
                <w:spacing w:val="-2"/>
                <w:sz w:val="18"/>
                <w:szCs w:val="18"/>
              </w:rPr>
              <w:t>kg</w:t>
            </w:r>
          </w:p>
        </w:tc>
        <w:tc>
          <w:tcPr>
            <w:tcW w:w="2482" w:type="dxa"/>
            <w:tcBorders>
              <w:top w:val="single" w:sz="4" w:space="0" w:color="000000"/>
              <w:left w:val="single" w:sz="4" w:space="0" w:color="000000"/>
              <w:bottom w:val="single" w:sz="4" w:space="0" w:color="000000"/>
              <w:right w:val="single" w:sz="12" w:space="0" w:color="000000"/>
            </w:tcBorders>
            <w:vAlign w:val="center"/>
          </w:tcPr>
          <w:p w14:paraId="196919D9" w14:textId="77777777" w:rsidR="00E25607" w:rsidRDefault="00000000">
            <w:pPr>
              <w:jc w:val="center"/>
              <w:rPr>
                <w:rFonts w:ascii="宋体" w:hAnsi="宋体" w:cs="宋体" w:hint="eastAsia"/>
                <w:sz w:val="18"/>
                <w:szCs w:val="18"/>
              </w:rPr>
            </w:pPr>
            <w:r>
              <w:rPr>
                <w:rFonts w:ascii="宋体" w:hAnsi="宋体" w:cs="宋体" w:hint="eastAsia"/>
                <w:spacing w:val="-2"/>
                <w:sz w:val="18"/>
                <w:szCs w:val="18"/>
              </w:rPr>
              <w:t>2～6</w:t>
            </w:r>
          </w:p>
        </w:tc>
      </w:tr>
      <w:tr w:rsidR="00E25607" w14:paraId="11C1F108" w14:textId="77777777">
        <w:trPr>
          <w:trHeight w:val="454"/>
        </w:trPr>
        <w:tc>
          <w:tcPr>
            <w:tcW w:w="2335" w:type="dxa"/>
            <w:tcBorders>
              <w:top w:val="single" w:sz="4" w:space="0" w:color="000000"/>
              <w:left w:val="single" w:sz="12" w:space="0" w:color="000000"/>
              <w:bottom w:val="single" w:sz="4" w:space="0" w:color="000000"/>
              <w:right w:val="single" w:sz="4" w:space="0" w:color="000000"/>
            </w:tcBorders>
            <w:vAlign w:val="center"/>
          </w:tcPr>
          <w:p w14:paraId="64900D32" w14:textId="77777777" w:rsidR="00E25607" w:rsidRDefault="00000000">
            <w:pPr>
              <w:jc w:val="center"/>
              <w:rPr>
                <w:rFonts w:ascii="宋体" w:hAnsi="宋体" w:cs="宋体" w:hint="eastAsia"/>
                <w:sz w:val="18"/>
                <w:szCs w:val="18"/>
              </w:rPr>
            </w:pPr>
            <w:r>
              <w:rPr>
                <w:rFonts w:ascii="宋体" w:hAnsi="宋体" w:cs="宋体" w:hint="eastAsia"/>
                <w:spacing w:val="-1"/>
                <w:sz w:val="18"/>
                <w:szCs w:val="18"/>
              </w:rPr>
              <w:t>代换性钙，mg</w:t>
            </w:r>
            <w:r>
              <w:rPr>
                <w:rFonts w:ascii="宋体" w:hAnsi="宋体" w:cs="宋体" w:hint="eastAsia"/>
                <w:spacing w:val="5"/>
                <w:sz w:val="18"/>
                <w:szCs w:val="18"/>
              </w:rPr>
              <w:t>/</w:t>
            </w:r>
            <w:r>
              <w:rPr>
                <w:rFonts w:ascii="宋体" w:hAnsi="宋体" w:cs="宋体" w:hint="eastAsia"/>
                <w:spacing w:val="-1"/>
                <w:sz w:val="18"/>
                <w:szCs w:val="18"/>
              </w:rPr>
              <w:t>kg</w:t>
            </w:r>
          </w:p>
        </w:tc>
        <w:tc>
          <w:tcPr>
            <w:tcW w:w="2330" w:type="dxa"/>
            <w:tcBorders>
              <w:top w:val="single" w:sz="4" w:space="0" w:color="000000"/>
              <w:left w:val="single" w:sz="4" w:space="0" w:color="000000"/>
              <w:bottom w:val="single" w:sz="4" w:space="0" w:color="000000"/>
              <w:right w:val="single" w:sz="4" w:space="0" w:color="000000"/>
            </w:tcBorders>
            <w:vAlign w:val="center"/>
          </w:tcPr>
          <w:p w14:paraId="05571A00" w14:textId="77777777" w:rsidR="00E25607" w:rsidRDefault="00000000">
            <w:pPr>
              <w:jc w:val="center"/>
              <w:rPr>
                <w:rFonts w:ascii="宋体" w:hAnsi="宋体" w:cs="宋体" w:hint="eastAsia"/>
                <w:sz w:val="18"/>
                <w:szCs w:val="18"/>
              </w:rPr>
            </w:pPr>
            <w:r>
              <w:rPr>
                <w:rFonts w:ascii="宋体" w:hAnsi="宋体" w:cs="宋体" w:hint="eastAsia"/>
                <w:spacing w:val="-1"/>
                <w:sz w:val="18"/>
                <w:szCs w:val="18"/>
              </w:rPr>
              <w:t>500～2000</w:t>
            </w:r>
          </w:p>
        </w:tc>
        <w:tc>
          <w:tcPr>
            <w:tcW w:w="2351" w:type="dxa"/>
            <w:tcBorders>
              <w:top w:val="single" w:sz="4" w:space="0" w:color="000000"/>
              <w:left w:val="single" w:sz="4" w:space="0" w:color="000000"/>
              <w:bottom w:val="single" w:sz="4" w:space="0" w:color="000000"/>
              <w:right w:val="single" w:sz="4" w:space="0" w:color="000000"/>
            </w:tcBorders>
            <w:vAlign w:val="center"/>
          </w:tcPr>
          <w:p w14:paraId="798D1583" w14:textId="77777777" w:rsidR="00E25607" w:rsidRDefault="00000000">
            <w:pPr>
              <w:jc w:val="center"/>
              <w:rPr>
                <w:rFonts w:ascii="宋体" w:hAnsi="宋体" w:cs="宋体" w:hint="eastAsia"/>
                <w:sz w:val="18"/>
                <w:szCs w:val="18"/>
              </w:rPr>
            </w:pPr>
            <w:r>
              <w:rPr>
                <w:rFonts w:ascii="宋体" w:hAnsi="宋体" w:cs="宋体" w:hint="eastAsia"/>
                <w:spacing w:val="-2"/>
                <w:sz w:val="18"/>
                <w:szCs w:val="18"/>
              </w:rPr>
              <w:t>水溶性硼，mg</w:t>
            </w:r>
            <w:r>
              <w:rPr>
                <w:rFonts w:ascii="宋体" w:hAnsi="宋体" w:cs="宋体" w:hint="eastAsia"/>
                <w:spacing w:val="11"/>
                <w:sz w:val="18"/>
                <w:szCs w:val="18"/>
              </w:rPr>
              <w:t>/</w:t>
            </w:r>
            <w:r>
              <w:rPr>
                <w:rFonts w:ascii="宋体" w:hAnsi="宋体" w:cs="宋体" w:hint="eastAsia"/>
                <w:spacing w:val="-2"/>
                <w:sz w:val="18"/>
                <w:szCs w:val="18"/>
              </w:rPr>
              <w:t>kg</w:t>
            </w:r>
          </w:p>
        </w:tc>
        <w:tc>
          <w:tcPr>
            <w:tcW w:w="2482" w:type="dxa"/>
            <w:tcBorders>
              <w:top w:val="single" w:sz="4" w:space="0" w:color="000000"/>
              <w:left w:val="single" w:sz="4" w:space="0" w:color="000000"/>
              <w:bottom w:val="single" w:sz="4" w:space="0" w:color="000000"/>
              <w:right w:val="single" w:sz="12" w:space="0" w:color="000000"/>
            </w:tcBorders>
            <w:vAlign w:val="center"/>
          </w:tcPr>
          <w:p w14:paraId="347F468A" w14:textId="77777777" w:rsidR="00E25607" w:rsidRDefault="00000000">
            <w:pPr>
              <w:jc w:val="center"/>
              <w:rPr>
                <w:rFonts w:ascii="宋体" w:hAnsi="宋体" w:cs="宋体" w:hint="eastAsia"/>
                <w:sz w:val="18"/>
                <w:szCs w:val="18"/>
              </w:rPr>
            </w:pPr>
            <w:r>
              <w:rPr>
                <w:rFonts w:ascii="宋体" w:hAnsi="宋体" w:cs="宋体" w:hint="eastAsia"/>
                <w:spacing w:val="-1"/>
                <w:sz w:val="18"/>
                <w:szCs w:val="18"/>
              </w:rPr>
              <w:t>0.50～1.00</w:t>
            </w:r>
          </w:p>
        </w:tc>
      </w:tr>
      <w:tr w:rsidR="00E25607" w14:paraId="7C760870" w14:textId="77777777">
        <w:trPr>
          <w:trHeight w:val="454"/>
        </w:trPr>
        <w:tc>
          <w:tcPr>
            <w:tcW w:w="2335" w:type="dxa"/>
            <w:tcBorders>
              <w:top w:val="single" w:sz="4" w:space="0" w:color="000000"/>
              <w:left w:val="single" w:sz="12" w:space="0" w:color="000000"/>
              <w:bottom w:val="single" w:sz="4" w:space="0" w:color="000000"/>
              <w:right w:val="single" w:sz="4" w:space="0" w:color="000000"/>
            </w:tcBorders>
            <w:vAlign w:val="center"/>
          </w:tcPr>
          <w:p w14:paraId="58486BAA" w14:textId="77777777" w:rsidR="00E25607" w:rsidRDefault="00000000">
            <w:pPr>
              <w:jc w:val="center"/>
              <w:rPr>
                <w:rFonts w:ascii="宋体" w:hAnsi="宋体" w:cs="宋体" w:hint="eastAsia"/>
                <w:sz w:val="18"/>
                <w:szCs w:val="18"/>
              </w:rPr>
            </w:pPr>
            <w:r>
              <w:rPr>
                <w:rFonts w:ascii="宋体" w:hAnsi="宋体" w:cs="宋体" w:hint="eastAsia"/>
                <w:spacing w:val="-1"/>
                <w:sz w:val="18"/>
                <w:szCs w:val="18"/>
              </w:rPr>
              <w:t>代换性镁，mg</w:t>
            </w:r>
            <w:r>
              <w:rPr>
                <w:rFonts w:ascii="宋体" w:hAnsi="宋体" w:cs="宋体" w:hint="eastAsia"/>
                <w:spacing w:val="5"/>
                <w:sz w:val="18"/>
                <w:szCs w:val="18"/>
              </w:rPr>
              <w:t>/</w:t>
            </w:r>
            <w:r>
              <w:rPr>
                <w:rFonts w:ascii="宋体" w:hAnsi="宋体" w:cs="宋体" w:hint="eastAsia"/>
                <w:spacing w:val="-1"/>
                <w:sz w:val="18"/>
                <w:szCs w:val="18"/>
              </w:rPr>
              <w:t>kg</w:t>
            </w:r>
          </w:p>
        </w:tc>
        <w:tc>
          <w:tcPr>
            <w:tcW w:w="2330" w:type="dxa"/>
            <w:tcBorders>
              <w:top w:val="single" w:sz="4" w:space="0" w:color="000000"/>
              <w:left w:val="single" w:sz="4" w:space="0" w:color="000000"/>
              <w:bottom w:val="single" w:sz="4" w:space="0" w:color="000000"/>
              <w:right w:val="single" w:sz="4" w:space="0" w:color="000000"/>
            </w:tcBorders>
            <w:vAlign w:val="center"/>
          </w:tcPr>
          <w:p w14:paraId="6D573597" w14:textId="77777777" w:rsidR="00E25607" w:rsidRDefault="00000000">
            <w:pPr>
              <w:jc w:val="center"/>
              <w:rPr>
                <w:rFonts w:ascii="宋体" w:hAnsi="宋体" w:cs="宋体" w:hint="eastAsia"/>
                <w:sz w:val="18"/>
                <w:szCs w:val="18"/>
              </w:rPr>
            </w:pPr>
            <w:r>
              <w:rPr>
                <w:rFonts w:ascii="宋体" w:hAnsi="宋体" w:cs="宋体" w:hint="eastAsia"/>
                <w:spacing w:val="-1"/>
                <w:sz w:val="18"/>
                <w:szCs w:val="18"/>
              </w:rPr>
              <w:t>80～125</w:t>
            </w:r>
          </w:p>
        </w:tc>
        <w:tc>
          <w:tcPr>
            <w:tcW w:w="2351" w:type="dxa"/>
            <w:tcBorders>
              <w:top w:val="single" w:sz="4" w:space="0" w:color="000000"/>
              <w:left w:val="single" w:sz="4" w:space="0" w:color="000000"/>
              <w:bottom w:val="single" w:sz="4" w:space="0" w:color="000000"/>
              <w:right w:val="single" w:sz="4" w:space="0" w:color="000000"/>
            </w:tcBorders>
            <w:vAlign w:val="center"/>
          </w:tcPr>
          <w:p w14:paraId="45AFE415" w14:textId="77777777" w:rsidR="00E25607" w:rsidRDefault="00000000">
            <w:pPr>
              <w:jc w:val="center"/>
              <w:rPr>
                <w:rFonts w:ascii="宋体" w:hAnsi="宋体" w:cs="宋体" w:hint="eastAsia"/>
                <w:sz w:val="18"/>
                <w:szCs w:val="18"/>
              </w:rPr>
            </w:pPr>
            <w:r>
              <w:rPr>
                <w:rFonts w:ascii="宋体" w:hAnsi="宋体" w:cs="宋体" w:hint="eastAsia"/>
                <w:spacing w:val="-2"/>
                <w:sz w:val="18"/>
                <w:szCs w:val="18"/>
              </w:rPr>
              <w:t>有效钼，mg</w:t>
            </w:r>
            <w:r>
              <w:rPr>
                <w:rFonts w:ascii="宋体" w:hAnsi="宋体" w:cs="宋体" w:hint="eastAsia"/>
                <w:spacing w:val="10"/>
                <w:sz w:val="18"/>
                <w:szCs w:val="18"/>
              </w:rPr>
              <w:t>/</w:t>
            </w:r>
            <w:r>
              <w:rPr>
                <w:rFonts w:ascii="宋体" w:hAnsi="宋体" w:cs="宋体" w:hint="eastAsia"/>
                <w:spacing w:val="-2"/>
                <w:sz w:val="18"/>
                <w:szCs w:val="18"/>
              </w:rPr>
              <w:t>kg</w:t>
            </w:r>
          </w:p>
        </w:tc>
        <w:tc>
          <w:tcPr>
            <w:tcW w:w="2482" w:type="dxa"/>
            <w:tcBorders>
              <w:top w:val="single" w:sz="4" w:space="0" w:color="000000"/>
              <w:left w:val="single" w:sz="4" w:space="0" w:color="000000"/>
              <w:bottom w:val="single" w:sz="4" w:space="0" w:color="000000"/>
              <w:right w:val="single" w:sz="12" w:space="0" w:color="000000"/>
            </w:tcBorders>
            <w:vAlign w:val="center"/>
          </w:tcPr>
          <w:p w14:paraId="07CDC7C8" w14:textId="77777777" w:rsidR="00E25607" w:rsidRDefault="00000000">
            <w:pPr>
              <w:jc w:val="center"/>
              <w:rPr>
                <w:rFonts w:ascii="宋体" w:hAnsi="宋体" w:cs="宋体" w:hint="eastAsia"/>
                <w:sz w:val="18"/>
                <w:szCs w:val="18"/>
              </w:rPr>
            </w:pPr>
            <w:r>
              <w:rPr>
                <w:rFonts w:ascii="宋体" w:hAnsi="宋体" w:cs="宋体" w:hint="eastAsia"/>
                <w:spacing w:val="-1"/>
                <w:sz w:val="18"/>
                <w:szCs w:val="18"/>
              </w:rPr>
              <w:t>0.15～0.35</w:t>
            </w:r>
          </w:p>
        </w:tc>
      </w:tr>
      <w:tr w:rsidR="00E25607" w14:paraId="33CF3D63" w14:textId="77777777">
        <w:trPr>
          <w:trHeight w:val="454"/>
        </w:trPr>
        <w:tc>
          <w:tcPr>
            <w:tcW w:w="9498" w:type="dxa"/>
            <w:gridSpan w:val="4"/>
            <w:tcBorders>
              <w:top w:val="single" w:sz="4" w:space="0" w:color="000000"/>
              <w:left w:val="single" w:sz="12" w:space="0" w:color="000000"/>
              <w:bottom w:val="single" w:sz="12" w:space="0" w:color="000000"/>
              <w:right w:val="single" w:sz="12" w:space="0" w:color="000000"/>
            </w:tcBorders>
            <w:vAlign w:val="center"/>
          </w:tcPr>
          <w:p w14:paraId="572EA726" w14:textId="77777777" w:rsidR="00E25607" w:rsidRDefault="00000000">
            <w:pPr>
              <w:spacing w:before="85" w:line="207" w:lineRule="auto"/>
              <w:ind w:left="134"/>
              <w:rPr>
                <w:rFonts w:ascii="宋体" w:hAnsi="宋体" w:cs="宋体" w:hint="eastAsia"/>
                <w:sz w:val="18"/>
                <w:szCs w:val="18"/>
              </w:rPr>
            </w:pPr>
            <w:r>
              <w:rPr>
                <w:rFonts w:ascii="黑体" w:eastAsia="黑体" w:hAnsi="黑体" w:cs="黑体" w:hint="eastAsia"/>
                <w:spacing w:val="4"/>
                <w:sz w:val="18"/>
                <w:szCs w:val="18"/>
              </w:rPr>
              <w:t>注：土样采自0～30</w:t>
            </w:r>
            <w:r>
              <w:rPr>
                <w:rFonts w:ascii="黑体" w:eastAsia="黑体" w:hAnsi="黑体" w:cs="黑体" w:hint="eastAsia"/>
                <w:spacing w:val="22"/>
                <w:w w:val="101"/>
                <w:sz w:val="18"/>
                <w:szCs w:val="18"/>
              </w:rPr>
              <w:t xml:space="preserve"> </w:t>
            </w:r>
            <w:r>
              <w:rPr>
                <w:rFonts w:ascii="黑体" w:eastAsia="黑体" w:hAnsi="黑体" w:cs="黑体" w:hint="eastAsia"/>
                <w:sz w:val="18"/>
                <w:szCs w:val="18"/>
              </w:rPr>
              <w:t>cm</w:t>
            </w:r>
            <w:r>
              <w:rPr>
                <w:rFonts w:ascii="黑体" w:eastAsia="黑体" w:hAnsi="黑体" w:cs="黑体" w:hint="eastAsia"/>
                <w:spacing w:val="4"/>
                <w:sz w:val="18"/>
                <w:szCs w:val="18"/>
              </w:rPr>
              <w:t>土层。</w:t>
            </w:r>
          </w:p>
        </w:tc>
      </w:tr>
    </w:tbl>
    <w:p w14:paraId="41BA7F96" w14:textId="77777777" w:rsidR="00E25607" w:rsidRDefault="00E25607">
      <w:pPr>
        <w:pStyle w:val="afffffa"/>
        <w:ind w:firstLineChars="0" w:firstLine="0"/>
        <w:rPr>
          <w:rFonts w:ascii="Times New Roman" w:hint="eastAsia"/>
          <w:color w:val="000000"/>
          <w:sz w:val="28"/>
          <w:szCs w:val="28"/>
        </w:rPr>
      </w:pPr>
    </w:p>
    <w:p w14:paraId="2ABD6713" w14:textId="77777777" w:rsidR="00E25607" w:rsidRDefault="00E25607" w:rsidP="006A35B8">
      <w:pPr>
        <w:pStyle w:val="afe"/>
        <w:numPr>
          <w:ilvl w:val="0"/>
          <w:numId w:val="0"/>
        </w:numPr>
        <w:jc w:val="both"/>
        <w:rPr>
          <w:rFonts w:hint="eastAsia"/>
        </w:rPr>
      </w:pPr>
    </w:p>
    <w:p w14:paraId="6E802EE8" w14:textId="0C366805" w:rsidR="006A35B8" w:rsidRPr="006A35B8" w:rsidRDefault="006A35B8" w:rsidP="006A35B8">
      <w:pPr>
        <w:pStyle w:val="afffffa"/>
        <w:ind w:firstLineChars="0" w:firstLine="0"/>
        <w:jc w:val="center"/>
      </w:pPr>
      <w:bookmarkStart w:id="46" w:name="BookMark8"/>
      <w:bookmarkEnd w:id="22"/>
      <w:r>
        <w:rPr>
          <w:noProof/>
        </w:rPr>
        <w:drawing>
          <wp:inline distT="0" distB="0" distL="0" distR="0" wp14:anchorId="1E414A0E" wp14:editId="3BFDBAB7">
            <wp:extent cx="1485900" cy="317500"/>
            <wp:effectExtent l="0" t="0" r="0" b="6350"/>
            <wp:docPr id="281250546" name="图片 3"/>
            <wp:cNvGraphicFramePr/>
            <a:graphic xmlns:a="http://schemas.openxmlformats.org/drawingml/2006/main">
              <a:graphicData uri="http://schemas.openxmlformats.org/drawingml/2006/picture">
                <pic:pic xmlns:pic="http://schemas.openxmlformats.org/drawingml/2006/picture">
                  <pic:nvPicPr>
                    <pic:cNvPr id="281250546"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6"/>
    </w:p>
    <w:sectPr w:rsidR="006A35B8" w:rsidRPr="006A35B8">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95CCB" w14:textId="77777777" w:rsidR="00890C2F" w:rsidRDefault="00890C2F">
      <w:pPr>
        <w:spacing w:line="240" w:lineRule="auto"/>
      </w:pPr>
      <w:r>
        <w:separator/>
      </w:r>
    </w:p>
  </w:endnote>
  <w:endnote w:type="continuationSeparator" w:id="0">
    <w:p w14:paraId="0395771A" w14:textId="77777777" w:rsidR="00890C2F" w:rsidRDefault="00890C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4638F" w14:textId="77777777" w:rsidR="00E25607" w:rsidRDefault="00000000">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A3244" w14:textId="77777777" w:rsidR="00E25607" w:rsidRDefault="00E25607">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7915B" w14:textId="77777777" w:rsidR="00E25607" w:rsidRDefault="00E25607">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EF9A3" w14:textId="77777777" w:rsidR="00E25607" w:rsidRDefault="00000000">
    <w:pPr>
      <w:pStyle w:val="afffff7"/>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8B34C" w14:textId="77777777" w:rsidR="00890C2F" w:rsidRDefault="00890C2F">
      <w:pPr>
        <w:spacing w:line="240" w:lineRule="auto"/>
      </w:pPr>
      <w:r>
        <w:separator/>
      </w:r>
    </w:p>
  </w:footnote>
  <w:footnote w:type="continuationSeparator" w:id="0">
    <w:p w14:paraId="4AB17298" w14:textId="77777777" w:rsidR="00890C2F" w:rsidRDefault="00890C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C3CF0" w14:textId="77777777" w:rsidR="00E25607" w:rsidRDefault="00E25607">
    <w:pPr>
      <w:pStyle w:val="afff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BD38E" w14:textId="77777777" w:rsidR="00E25607" w:rsidRDefault="00000000">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2E44B" w14:textId="77777777" w:rsidR="00E25607" w:rsidRDefault="00E25607">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CA268" w14:textId="2A510AAE" w:rsidR="00E25607" w:rsidRDefault="00000000">
    <w:pPr>
      <w:pStyle w:val="affffff"/>
      <w:rPr>
        <w:rFonts w:hint="eastAsia"/>
      </w:rPr>
    </w:pPr>
    <w:r>
      <w:fldChar w:fldCharType="begin"/>
    </w:r>
    <w:r>
      <w:instrText xml:space="preserve"> STYLEREF  标准文件_文件编号  \* MERGEFORMAT </w:instrText>
    </w:r>
    <w:r>
      <w:fldChar w:fldCharType="separate"/>
    </w:r>
    <w:r w:rsidR="006A35B8">
      <w:rPr>
        <w:rFonts w:hint="eastAsia"/>
        <w:noProof/>
      </w:rPr>
      <w:t>T/XXX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1559"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283" w:firstLine="0"/>
      </w:pPr>
      <w:rPr>
        <w:rFonts w:ascii="黑体" w:eastAsia="黑体" w:hint="eastAsia"/>
        <w:b w:val="0"/>
        <w:i w:val="0"/>
        <w:sz w:val="21"/>
      </w:rPr>
    </w:lvl>
    <w:lvl w:ilvl="2">
      <w:start w:val="1"/>
      <w:numFmt w:val="decimal"/>
      <w:pStyle w:val="affd"/>
      <w:suff w:val="nothing"/>
      <w:lvlText w:val="%1%2.%3　"/>
      <w:lvlJc w:val="left"/>
      <w:pPr>
        <w:ind w:left="141"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614938387">
    <w:abstractNumId w:val="0"/>
  </w:num>
  <w:num w:numId="2" w16cid:durableId="1428161655">
    <w:abstractNumId w:val="27"/>
  </w:num>
  <w:num w:numId="3" w16cid:durableId="1084062803">
    <w:abstractNumId w:val="5"/>
  </w:num>
  <w:num w:numId="4" w16cid:durableId="1699815626">
    <w:abstractNumId w:val="23"/>
  </w:num>
  <w:num w:numId="5" w16cid:durableId="243878748">
    <w:abstractNumId w:val="18"/>
  </w:num>
  <w:num w:numId="6" w16cid:durableId="973364465">
    <w:abstractNumId w:val="13"/>
  </w:num>
  <w:num w:numId="7" w16cid:durableId="1363675442">
    <w:abstractNumId w:val="8"/>
  </w:num>
  <w:num w:numId="8" w16cid:durableId="1739673155">
    <w:abstractNumId w:val="3"/>
  </w:num>
  <w:num w:numId="9" w16cid:durableId="1160272008">
    <w:abstractNumId w:val="9"/>
  </w:num>
  <w:num w:numId="10" w16cid:durableId="1152453413">
    <w:abstractNumId w:val="16"/>
  </w:num>
  <w:num w:numId="11" w16cid:durableId="2018072384">
    <w:abstractNumId w:val="25"/>
  </w:num>
  <w:num w:numId="12" w16cid:durableId="376470922">
    <w:abstractNumId w:val="11"/>
  </w:num>
  <w:num w:numId="13" w16cid:durableId="1040596675">
    <w:abstractNumId w:val="12"/>
  </w:num>
  <w:num w:numId="14" w16cid:durableId="561715400">
    <w:abstractNumId w:val="7"/>
  </w:num>
  <w:num w:numId="15" w16cid:durableId="1196650570">
    <w:abstractNumId w:val="19"/>
  </w:num>
  <w:num w:numId="16" w16cid:durableId="1390227318">
    <w:abstractNumId w:val="21"/>
  </w:num>
  <w:num w:numId="17" w16cid:durableId="557204172">
    <w:abstractNumId w:val="17"/>
  </w:num>
  <w:num w:numId="18" w16cid:durableId="1000935196">
    <w:abstractNumId w:val="29"/>
  </w:num>
  <w:num w:numId="19" w16cid:durableId="1008680139">
    <w:abstractNumId w:val="15"/>
  </w:num>
  <w:num w:numId="20" w16cid:durableId="1038898599">
    <w:abstractNumId w:val="1"/>
  </w:num>
  <w:num w:numId="21" w16cid:durableId="1996763481">
    <w:abstractNumId w:val="10"/>
  </w:num>
  <w:num w:numId="22" w16cid:durableId="1667857611">
    <w:abstractNumId w:val="30"/>
  </w:num>
  <w:num w:numId="23" w16cid:durableId="899292272">
    <w:abstractNumId w:val="20"/>
  </w:num>
  <w:num w:numId="24" w16cid:durableId="862786696">
    <w:abstractNumId w:val="6"/>
  </w:num>
  <w:num w:numId="25" w16cid:durableId="984628665">
    <w:abstractNumId w:val="26"/>
  </w:num>
  <w:num w:numId="26" w16cid:durableId="851382743">
    <w:abstractNumId w:val="28"/>
  </w:num>
  <w:num w:numId="27" w16cid:durableId="710956785">
    <w:abstractNumId w:val="2"/>
  </w:num>
  <w:num w:numId="28" w16cid:durableId="1369834987">
    <w:abstractNumId w:val="4"/>
  </w:num>
  <w:num w:numId="29" w16cid:durableId="1580094627">
    <w:abstractNumId w:val="14"/>
  </w:num>
  <w:num w:numId="30" w16cid:durableId="37899457">
    <w:abstractNumId w:val="24"/>
  </w:num>
  <w:num w:numId="31" w16cid:durableId="146842949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bordersDoNotSurroundHeader/>
  <w:bordersDoNotSurroundFooter/>
  <w:attachedTemplate r:id="rId1"/>
  <w:documentProtection w:edit="forms" w:enforcement="1" w:cryptProviderType="rsaAES" w:cryptAlgorithmClass="hash" w:cryptAlgorithmType="typeAny" w:cryptAlgorithmSid="14" w:cryptSpinCount="100000" w:hash="cRqBsTFQ8K289J0dUyKwg2AhSy57i27njegXuBQyn0AueEiFDqQ5pa9DkgjbT/cHvMpBZ2sBUpEHRd8zLKLsJw==" w:salt="M9AT2lGBC5XakxA5VYSZiQ=="/>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jgyNDZkNTU1ZjZhNjAyOTFkN2Y4NTcyYmM1YzkyYTQifQ=="/>
  </w:docVars>
  <w:rsids>
    <w:rsidRoot w:val="001B65E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6D49"/>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6AB7"/>
    <w:rsid w:val="000C7666"/>
    <w:rsid w:val="000D0A9C"/>
    <w:rsid w:val="000D1795"/>
    <w:rsid w:val="000D3261"/>
    <w:rsid w:val="000D329A"/>
    <w:rsid w:val="000D4B9C"/>
    <w:rsid w:val="000D4EB6"/>
    <w:rsid w:val="000D753B"/>
    <w:rsid w:val="000E4C9E"/>
    <w:rsid w:val="000E6778"/>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65E5"/>
    <w:rsid w:val="001B71D0"/>
    <w:rsid w:val="001B71EE"/>
    <w:rsid w:val="001C04A8"/>
    <w:rsid w:val="001C265D"/>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6B5"/>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2854"/>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2696B"/>
    <w:rsid w:val="00632182"/>
    <w:rsid w:val="00632AE0"/>
    <w:rsid w:val="00633C17"/>
    <w:rsid w:val="00634D9E"/>
    <w:rsid w:val="00636E3E"/>
    <w:rsid w:val="006379F7"/>
    <w:rsid w:val="00637E4D"/>
    <w:rsid w:val="00640620"/>
    <w:rsid w:val="00641A1F"/>
    <w:rsid w:val="00645904"/>
    <w:rsid w:val="00646E1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1EA"/>
    <w:rsid w:val="0068026D"/>
    <w:rsid w:val="00680A27"/>
    <w:rsid w:val="006816A4"/>
    <w:rsid w:val="006819B8"/>
    <w:rsid w:val="006840A6"/>
    <w:rsid w:val="006850CD"/>
    <w:rsid w:val="00685AAB"/>
    <w:rsid w:val="00693962"/>
    <w:rsid w:val="006A07AA"/>
    <w:rsid w:val="006A25E5"/>
    <w:rsid w:val="006A2B46"/>
    <w:rsid w:val="006A336D"/>
    <w:rsid w:val="006A35B8"/>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2374"/>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0F53"/>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0C2F"/>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B23"/>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AF6533"/>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4DD7"/>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B6940"/>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4538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15D1E"/>
    <w:rsid w:val="00E202EF"/>
    <w:rsid w:val="00E210B5"/>
    <w:rsid w:val="00E2552F"/>
    <w:rsid w:val="00E25607"/>
    <w:rsid w:val="00E3137A"/>
    <w:rsid w:val="00E32CCF"/>
    <w:rsid w:val="00E34A98"/>
    <w:rsid w:val="00E35D1E"/>
    <w:rsid w:val="00E364F9"/>
    <w:rsid w:val="00E365FA"/>
    <w:rsid w:val="00E36789"/>
    <w:rsid w:val="00E40093"/>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ACC"/>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56B72"/>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703"/>
    <w:rsid w:val="00FD09A1"/>
    <w:rsid w:val="00FD2A7C"/>
    <w:rsid w:val="00FD59EB"/>
    <w:rsid w:val="00FD7299"/>
    <w:rsid w:val="00FE1FBE"/>
    <w:rsid w:val="00FE2F24"/>
    <w:rsid w:val="00FE3901"/>
    <w:rsid w:val="00FE39D3"/>
    <w:rsid w:val="00FE4BCE"/>
    <w:rsid w:val="00FE54AE"/>
    <w:rsid w:val="00FE576A"/>
    <w:rsid w:val="00FE7E79"/>
    <w:rsid w:val="00FF3E7D"/>
    <w:rsid w:val="00FF5B99"/>
    <w:rsid w:val="00FF730C"/>
    <w:rsid w:val="00FF73F4"/>
    <w:rsid w:val="00FF7CE4"/>
    <w:rsid w:val="00FF7E39"/>
    <w:rsid w:val="090129D5"/>
    <w:rsid w:val="09305071"/>
    <w:rsid w:val="0BA34AD7"/>
    <w:rsid w:val="0D0F248E"/>
    <w:rsid w:val="0F4E7F38"/>
    <w:rsid w:val="0F6217EC"/>
    <w:rsid w:val="11D32976"/>
    <w:rsid w:val="121948C4"/>
    <w:rsid w:val="198B41CF"/>
    <w:rsid w:val="238C6FED"/>
    <w:rsid w:val="26C82522"/>
    <w:rsid w:val="291C47AB"/>
    <w:rsid w:val="34990BE5"/>
    <w:rsid w:val="396B7727"/>
    <w:rsid w:val="3FB86B84"/>
    <w:rsid w:val="46DF0C3A"/>
    <w:rsid w:val="57E26A3C"/>
    <w:rsid w:val="5C885101"/>
    <w:rsid w:val="5CB2472E"/>
    <w:rsid w:val="602E34A0"/>
    <w:rsid w:val="637E22F8"/>
    <w:rsid w:val="64F60ACE"/>
    <w:rsid w:val="697A350A"/>
    <w:rsid w:val="6A484851"/>
    <w:rsid w:val="6E7E0728"/>
    <w:rsid w:val="6F586314"/>
    <w:rsid w:val="6FF92F31"/>
    <w:rsid w:val="70207CAA"/>
    <w:rsid w:val="721A0E24"/>
    <w:rsid w:val="7C8945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8587C5B"/>
  <w15:docId w15:val="{98AFEDEA-8E8A-4D6C-9284-0CC6390DE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autoRedefine/>
    <w:qFormat/>
    <w:pPr>
      <w:widowControl w:val="0"/>
      <w:adjustRightInd w:val="0"/>
      <w:spacing w:line="400" w:lineRule="exact"/>
      <w:jc w:val="both"/>
    </w:pPr>
    <w:rPr>
      <w:kern w:val="2"/>
      <w:sz w:val="21"/>
      <w:szCs w:val="21"/>
    </w:rPr>
  </w:style>
  <w:style w:type="paragraph" w:styleId="1">
    <w:name w:val="heading 1"/>
    <w:basedOn w:val="afff5"/>
    <w:next w:val="afff5"/>
    <w:link w:val="10"/>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3"/>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autoRedefine/>
    <w:qFormat/>
    <w:pPr>
      <w:keepNext/>
      <w:keepLines/>
      <w:spacing w:before="260" w:after="260" w:line="416" w:lineRule="auto"/>
      <w:outlineLvl w:val="2"/>
    </w:pPr>
    <w:rPr>
      <w:b/>
      <w:bCs/>
      <w:sz w:val="32"/>
      <w:szCs w:val="32"/>
    </w:rPr>
  </w:style>
  <w:style w:type="paragraph" w:styleId="4">
    <w:name w:val="heading 4"/>
    <w:basedOn w:val="afff5"/>
    <w:next w:val="afff5"/>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annotation text"/>
    <w:basedOn w:val="afff5"/>
    <w:link w:val="afffb"/>
    <w:autoRedefine/>
    <w:uiPriority w:val="99"/>
    <w:unhideWhenUsed/>
    <w:qFormat/>
    <w:pPr>
      <w:jc w:val="left"/>
    </w:pPr>
  </w:style>
  <w:style w:type="paragraph" w:styleId="afffc">
    <w:name w:val="Body Text"/>
    <w:basedOn w:val="afff5"/>
    <w:link w:val="afffd"/>
    <w:autoRedefine/>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autoRedefine/>
    <w:uiPriority w:val="99"/>
    <w:semiHidden/>
    <w:unhideWhenUsed/>
    <w:qFormat/>
    <w:rPr>
      <w:sz w:val="18"/>
      <w:szCs w:val="18"/>
    </w:rPr>
  </w:style>
  <w:style w:type="paragraph" w:styleId="affff0">
    <w:name w:val="footer"/>
    <w:basedOn w:val="afff5"/>
    <w:link w:val="affff1"/>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autoRedefine/>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autoRedefine/>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autoRedefine/>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Title"/>
    <w:basedOn w:val="afff5"/>
    <w:link w:val="affff8"/>
    <w:autoRedefine/>
    <w:qFormat/>
    <w:pPr>
      <w:spacing w:before="240" w:after="60"/>
      <w:jc w:val="center"/>
      <w:outlineLvl w:val="0"/>
    </w:pPr>
    <w:rPr>
      <w:rFonts w:ascii="Arial" w:hAnsi="Arial" w:cs="Arial"/>
      <w:b/>
      <w:bCs/>
      <w:sz w:val="32"/>
      <w:szCs w:val="32"/>
    </w:rPr>
  </w:style>
  <w:style w:type="paragraph" w:styleId="affff9">
    <w:name w:val="annotation subject"/>
    <w:basedOn w:val="afffa"/>
    <w:next w:val="afffa"/>
    <w:link w:val="affffa"/>
    <w:autoRedefine/>
    <w:uiPriority w:val="99"/>
    <w:semiHidden/>
    <w:unhideWhenUsed/>
    <w:qFormat/>
    <w:rPr>
      <w:b/>
      <w:bCs/>
    </w:rPr>
  </w:style>
  <w:style w:type="table" w:styleId="affffb">
    <w:name w:val="Table Grid"/>
    <w:basedOn w:val="afff7"/>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autoRedefine/>
    <w:uiPriority w:val="22"/>
    <w:qFormat/>
    <w:rPr>
      <w:b/>
      <w:bCs/>
    </w:rPr>
  </w:style>
  <w:style w:type="character" w:styleId="affffd">
    <w:name w:val="page number"/>
    <w:autoRedefine/>
    <w:qFormat/>
    <w:rPr>
      <w:rFonts w:ascii="宋体" w:eastAsia="宋体" w:hAnsi="Times New Roman"/>
      <w:sz w:val="18"/>
    </w:rPr>
  </w:style>
  <w:style w:type="character" w:styleId="affffe">
    <w:name w:val="Emphasis"/>
    <w:uiPriority w:val="20"/>
    <w:qFormat/>
    <w:rPr>
      <w:i/>
      <w:iCs/>
    </w:rPr>
  </w:style>
  <w:style w:type="character" w:styleId="afffff">
    <w:name w:val="Hyperlink"/>
    <w:autoRedefine/>
    <w:uiPriority w:val="99"/>
    <w:qFormat/>
    <w:rPr>
      <w:rFonts w:ascii="宋体" w:eastAsia="宋体" w:hAnsi="Times New Roman"/>
      <w:color w:val="auto"/>
      <w:spacing w:val="0"/>
      <w:w w:val="100"/>
      <w:position w:val="0"/>
      <w:sz w:val="21"/>
      <w:u w:val="none"/>
      <w:vertAlign w:val="baseline"/>
    </w:rPr>
  </w:style>
  <w:style w:type="character" w:styleId="afffff0">
    <w:name w:val="annotation reference"/>
    <w:basedOn w:val="afff6"/>
    <w:autoRedefine/>
    <w:uiPriority w:val="99"/>
    <w:semiHidden/>
    <w:unhideWhenUsed/>
    <w:qFormat/>
    <w:rPr>
      <w:sz w:val="21"/>
      <w:szCs w:val="21"/>
    </w:rPr>
  </w:style>
  <w:style w:type="character" w:styleId="afffff1">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qFormat/>
    <w:rPr>
      <w:b/>
      <w:bCs/>
      <w:kern w:val="44"/>
      <w:sz w:val="44"/>
      <w:szCs w:val="44"/>
    </w:rPr>
  </w:style>
  <w:style w:type="character" w:customStyle="1" w:styleId="23">
    <w:name w:val="标题 2 字符"/>
    <w:link w:val="22"/>
    <w:autoRedefine/>
    <w:qFormat/>
    <w:rPr>
      <w:rFonts w:ascii="Arial" w:eastAsia="黑体" w:hAnsi="Arial"/>
      <w:b/>
      <w:bCs/>
      <w:kern w:val="2"/>
      <w:sz w:val="32"/>
      <w:szCs w:val="32"/>
    </w:rPr>
  </w:style>
  <w:style w:type="character" w:customStyle="1" w:styleId="30">
    <w:name w:val="标题 3 字符"/>
    <w:link w:val="3"/>
    <w:autoRedefine/>
    <w:qFormat/>
    <w:rPr>
      <w:b/>
      <w:bCs/>
      <w:kern w:val="2"/>
      <w:sz w:val="32"/>
      <w:szCs w:val="32"/>
    </w:rPr>
  </w:style>
  <w:style w:type="character" w:customStyle="1" w:styleId="40">
    <w:name w:val="标题 4 字符"/>
    <w:link w:val="4"/>
    <w:autoRedefine/>
    <w:qFormat/>
    <w:rPr>
      <w:rFonts w:ascii="Arial" w:eastAsia="黑体" w:hAnsi="Arial"/>
      <w:b/>
      <w:bCs/>
      <w:kern w:val="2"/>
      <w:sz w:val="28"/>
      <w:szCs w:val="28"/>
    </w:rPr>
  </w:style>
  <w:style w:type="character" w:customStyle="1" w:styleId="50">
    <w:name w:val="标题 5 字符"/>
    <w:link w:val="5"/>
    <w:autoRedefine/>
    <w:qFormat/>
    <w:rPr>
      <w:b/>
      <w:bCs/>
      <w:kern w:val="2"/>
      <w:sz w:val="28"/>
      <w:szCs w:val="28"/>
    </w:rPr>
  </w:style>
  <w:style w:type="character" w:customStyle="1" w:styleId="60">
    <w:name w:val="标题 6 字符"/>
    <w:link w:val="6"/>
    <w:autoRedefine/>
    <w:qFormat/>
    <w:rPr>
      <w:rFonts w:ascii="Arial" w:eastAsia="黑体" w:hAnsi="Arial"/>
      <w:b/>
      <w:bCs/>
      <w:kern w:val="2"/>
      <w:sz w:val="24"/>
      <w:szCs w:val="24"/>
    </w:rPr>
  </w:style>
  <w:style w:type="character" w:customStyle="1" w:styleId="70">
    <w:name w:val="标题 7 字符"/>
    <w:link w:val="7"/>
    <w:autoRedefine/>
    <w:qFormat/>
    <w:rPr>
      <w:b/>
      <w:bCs/>
      <w:kern w:val="2"/>
      <w:sz w:val="24"/>
      <w:szCs w:val="24"/>
    </w:rPr>
  </w:style>
  <w:style w:type="character" w:customStyle="1" w:styleId="80">
    <w:name w:val="标题 8 字符"/>
    <w:link w:val="8"/>
    <w:autoRedefine/>
    <w:qFormat/>
    <w:rPr>
      <w:rFonts w:ascii="Arial" w:eastAsia="黑体" w:hAnsi="Arial"/>
      <w:kern w:val="2"/>
      <w:sz w:val="24"/>
      <w:szCs w:val="24"/>
    </w:rPr>
  </w:style>
  <w:style w:type="character" w:customStyle="1" w:styleId="90">
    <w:name w:val="标题 9 字符"/>
    <w:link w:val="9"/>
    <w:autoRedefine/>
    <w:qFormat/>
    <w:rPr>
      <w:rFonts w:ascii="Arial" w:eastAsia="黑体" w:hAnsi="Arial"/>
      <w:kern w:val="2"/>
      <w:sz w:val="21"/>
      <w:szCs w:val="21"/>
    </w:rPr>
  </w:style>
  <w:style w:type="character" w:customStyle="1" w:styleId="affff3">
    <w:name w:val="页眉 字符"/>
    <w:link w:val="affff2"/>
    <w:autoRedefine/>
    <w:uiPriority w:val="99"/>
    <w:qFormat/>
    <w:rPr>
      <w:kern w:val="2"/>
      <w:sz w:val="18"/>
      <w:szCs w:val="18"/>
    </w:rPr>
  </w:style>
  <w:style w:type="character" w:customStyle="1" w:styleId="affff1">
    <w:name w:val="页脚 字符"/>
    <w:link w:val="affff0"/>
    <w:autoRedefine/>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2">
    <w:name w:val="Quote"/>
    <w:basedOn w:val="afff5"/>
    <w:next w:val="afff5"/>
    <w:link w:val="afffff3"/>
    <w:autoRedefine/>
    <w:uiPriority w:val="29"/>
    <w:qFormat/>
    <w:rPr>
      <w:i/>
      <w:iCs/>
      <w:color w:val="000000"/>
    </w:rPr>
  </w:style>
  <w:style w:type="character" w:customStyle="1" w:styleId="afffff3">
    <w:name w:val="引用 字符"/>
    <w:link w:val="afffff2"/>
    <w:autoRedefine/>
    <w:uiPriority w:val="29"/>
    <w:qFormat/>
    <w:rPr>
      <w:i/>
      <w:iCs/>
      <w:color w:val="000000"/>
      <w:kern w:val="2"/>
      <w:sz w:val="21"/>
      <w:szCs w:val="21"/>
    </w:rPr>
  </w:style>
  <w:style w:type="character" w:customStyle="1" w:styleId="affff8">
    <w:name w:val="标题 字符"/>
    <w:link w:val="affff7"/>
    <w:autoRedefine/>
    <w:qFormat/>
    <w:rPr>
      <w:rFonts w:ascii="Arial" w:hAnsi="Arial" w:cs="Arial"/>
      <w:b/>
      <w:bCs/>
      <w:kern w:val="2"/>
      <w:sz w:val="32"/>
      <w:szCs w:val="32"/>
    </w:rPr>
  </w:style>
  <w:style w:type="paragraph" w:customStyle="1" w:styleId="afffff4">
    <w:name w:val="标准标志"/>
    <w:next w:val="afff5"/>
    <w:autoRedefine/>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5">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6">
    <w:name w:val="标准文件_页脚偶数页"/>
    <w:autoRedefine/>
    <w:qFormat/>
    <w:pPr>
      <w:ind w:left="198"/>
    </w:pPr>
    <w:rPr>
      <w:rFonts w:ascii="宋体" w:hAnsi="Times New Roman"/>
      <w:sz w:val="18"/>
    </w:rPr>
  </w:style>
  <w:style w:type="paragraph" w:customStyle="1" w:styleId="afffff7">
    <w:name w:val="标准文件_页脚奇数页"/>
    <w:autoRedefine/>
    <w:qFormat/>
    <w:pPr>
      <w:ind w:right="227"/>
      <w:jc w:val="right"/>
    </w:pPr>
    <w:rPr>
      <w:rFonts w:ascii="宋体" w:hAnsi="Times New Roman"/>
      <w:sz w:val="18"/>
    </w:rPr>
  </w:style>
  <w:style w:type="paragraph" w:customStyle="1" w:styleId="afffff8">
    <w:name w:val="标准书眉一"/>
    <w:qFormat/>
    <w:pPr>
      <w:jc w:val="both"/>
    </w:pPr>
    <w:rPr>
      <w:rFonts w:ascii="Times New Roman" w:hAnsi="Times New Roman"/>
    </w:r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9">
    <w:name w:val="标准文件_标准正文"/>
    <w:basedOn w:val="afff5"/>
    <w:next w:val="afffffa"/>
    <w:autoRedefine/>
    <w:qFormat/>
    <w:pPr>
      <w:snapToGrid w:val="0"/>
      <w:ind w:firstLineChars="200" w:firstLine="200"/>
    </w:pPr>
    <w:rPr>
      <w:kern w:val="0"/>
    </w:rPr>
  </w:style>
  <w:style w:type="paragraph" w:customStyle="1" w:styleId="afffffa">
    <w:name w:val="标准文件_段"/>
    <w:link w:val="Char"/>
    <w:autoRedefine/>
    <w:qFormat/>
    <w:pPr>
      <w:autoSpaceDE w:val="0"/>
      <w:autoSpaceDN w:val="0"/>
      <w:ind w:firstLineChars="200" w:firstLine="200"/>
      <w:jc w:val="both"/>
    </w:pPr>
    <w:rPr>
      <w:rFonts w:ascii="宋体" w:hAnsi="Times New Roman"/>
      <w:sz w:val="21"/>
    </w:rPr>
  </w:style>
  <w:style w:type="paragraph" w:customStyle="1" w:styleId="afffffb">
    <w:name w:val="标准文件_版本"/>
    <w:basedOn w:val="afffff9"/>
    <w:autoRedefine/>
    <w:qFormat/>
    <w:pPr>
      <w:adjustRightInd/>
      <w:snapToGrid/>
      <w:ind w:firstLineChars="0" w:firstLine="0"/>
    </w:pPr>
    <w:rPr>
      <w:rFonts w:ascii="宋体" w:hAnsi="宋体"/>
      <w:kern w:val="2"/>
    </w:rPr>
  </w:style>
  <w:style w:type="paragraph" w:customStyle="1" w:styleId="afffffc">
    <w:name w:val="标准文件_标准部门"/>
    <w:basedOn w:val="afff5"/>
    <w:autoRedefine/>
    <w:qFormat/>
    <w:pPr>
      <w:jc w:val="center"/>
    </w:pPr>
    <w:rPr>
      <w:rFonts w:ascii="黑体" w:eastAsia="黑体"/>
      <w:kern w:val="0"/>
      <w:sz w:val="44"/>
    </w:rPr>
  </w:style>
  <w:style w:type="paragraph" w:customStyle="1" w:styleId="afffffd">
    <w:name w:val="标准文件_标准代替"/>
    <w:basedOn w:val="afff5"/>
    <w:next w:val="afff5"/>
    <w:autoRedefine/>
    <w:qFormat/>
    <w:pPr>
      <w:spacing w:line="310" w:lineRule="exact"/>
      <w:jc w:val="right"/>
    </w:pPr>
    <w:rPr>
      <w:rFonts w:ascii="宋体" w:hAnsi="宋体"/>
      <w:kern w:val="0"/>
    </w:rPr>
  </w:style>
  <w:style w:type="paragraph" w:customStyle="1" w:styleId="afffffe">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autoRedefine/>
    <w:qFormat/>
    <w:pPr>
      <w:jc w:val="left"/>
    </w:pPr>
  </w:style>
  <w:style w:type="paragraph" w:customStyle="1" w:styleId="affffff1">
    <w:name w:val="标准文件_参考文献标题"/>
    <w:basedOn w:val="afff5"/>
    <w:next w:val="afff5"/>
    <w:autoRedefine/>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hAnsi="Times New Roman"/>
    </w:rPr>
  </w:style>
  <w:style w:type="paragraph" w:customStyle="1" w:styleId="affe">
    <w:name w:val="标准文件_二级条标题"/>
    <w:next w:val="afffffa"/>
    <w:autoRedefin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2">
    <w:name w:val="标准文件_发布"/>
    <w:autoRedefine/>
    <w:qFormat/>
    <w:rPr>
      <w:rFonts w:ascii="黑体" w:eastAsia="黑体"/>
      <w:spacing w:val="0"/>
      <w:w w:val="100"/>
      <w:position w:val="3"/>
      <w:sz w:val="28"/>
    </w:rPr>
  </w:style>
  <w:style w:type="paragraph" w:customStyle="1" w:styleId="ad">
    <w:name w:val="标准文件_方框数字列项"/>
    <w:basedOn w:val="afffffa"/>
    <w:autoRedefine/>
    <w:qFormat/>
    <w:pPr>
      <w:numPr>
        <w:numId w:val="3"/>
      </w:numPr>
      <w:ind w:firstLineChars="0" w:firstLine="0"/>
    </w:pPr>
  </w:style>
  <w:style w:type="paragraph" w:customStyle="1" w:styleId="affffff3">
    <w:name w:val="标准文件_封面标准编号"/>
    <w:basedOn w:val="afff5"/>
    <w:next w:val="afffffd"/>
    <w:autoRedefine/>
    <w:qFormat/>
    <w:pPr>
      <w:spacing w:line="310" w:lineRule="exact"/>
      <w:jc w:val="right"/>
    </w:pPr>
    <w:rPr>
      <w:rFonts w:ascii="黑体" w:eastAsia="黑体"/>
      <w:kern w:val="0"/>
      <w:sz w:val="28"/>
    </w:rPr>
  </w:style>
  <w:style w:type="paragraph" w:customStyle="1" w:styleId="affffff4">
    <w:name w:val="标准文件_封面标准分类号"/>
    <w:basedOn w:val="afff5"/>
    <w:autoRedefine/>
    <w:qFormat/>
    <w:rPr>
      <w:rFonts w:ascii="黑体" w:eastAsia="黑体"/>
      <w:b/>
      <w:kern w:val="0"/>
      <w:sz w:val="28"/>
    </w:rPr>
  </w:style>
  <w:style w:type="paragraph" w:customStyle="1" w:styleId="affffff5">
    <w:name w:val="标准文件_封面标准名称"/>
    <w:basedOn w:val="afff5"/>
    <w:autoRedefine/>
    <w:qFormat/>
    <w:pPr>
      <w:spacing w:line="240" w:lineRule="auto"/>
      <w:jc w:val="center"/>
    </w:pPr>
    <w:rPr>
      <w:rFonts w:ascii="黑体" w:eastAsia="黑体"/>
      <w:kern w:val="0"/>
      <w:sz w:val="52"/>
    </w:rPr>
  </w:style>
  <w:style w:type="paragraph" w:customStyle="1" w:styleId="affffff6">
    <w:name w:val="标准文件_封面标准英文名称"/>
    <w:basedOn w:val="afff5"/>
    <w:autoRedefine/>
    <w:qFormat/>
    <w:pPr>
      <w:spacing w:line="240" w:lineRule="auto"/>
      <w:jc w:val="center"/>
    </w:pPr>
    <w:rPr>
      <w:rFonts w:ascii="黑体" w:eastAsia="黑体"/>
      <w:b/>
      <w:sz w:val="28"/>
    </w:rPr>
  </w:style>
  <w:style w:type="paragraph" w:customStyle="1" w:styleId="affffff7">
    <w:name w:val="标准文件_封面发布日期"/>
    <w:basedOn w:val="afff5"/>
    <w:autoRedefine/>
    <w:qFormat/>
    <w:pPr>
      <w:spacing w:line="310" w:lineRule="exact"/>
    </w:pPr>
    <w:rPr>
      <w:rFonts w:ascii="黑体" w:eastAsia="黑体"/>
      <w:kern w:val="0"/>
      <w:sz w:val="28"/>
    </w:rPr>
  </w:style>
  <w:style w:type="paragraph" w:customStyle="1" w:styleId="affffff8">
    <w:name w:val="标准文件_封面密级"/>
    <w:basedOn w:val="afff5"/>
    <w:autoRedefine/>
    <w:qFormat/>
    <w:rPr>
      <w:rFonts w:eastAsia="黑体"/>
      <w:sz w:val="32"/>
    </w:rPr>
  </w:style>
  <w:style w:type="paragraph" w:customStyle="1" w:styleId="affffff9">
    <w:name w:val="标准文件_封面实施日期"/>
    <w:basedOn w:val="afff5"/>
    <w:autoRedefine/>
    <w:qFormat/>
    <w:pPr>
      <w:spacing w:line="310" w:lineRule="exact"/>
      <w:jc w:val="right"/>
    </w:pPr>
    <w:rPr>
      <w:rFonts w:ascii="黑体" w:eastAsia="黑体"/>
      <w:sz w:val="28"/>
    </w:rPr>
  </w:style>
  <w:style w:type="paragraph" w:customStyle="1" w:styleId="affffffa">
    <w:name w:val="标准文件_封面抬头"/>
    <w:basedOn w:val="afffffa"/>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a"/>
    <w:autoRedefine/>
    <w:qFormat/>
    <w:pPr>
      <w:numPr>
        <w:numId w:val="4"/>
      </w:numPr>
      <w:shd w:val="clear" w:color="FFFFFF" w:fill="FFFFFF"/>
      <w:tabs>
        <w:tab w:val="left" w:pos="6406"/>
      </w:tabs>
      <w:spacing w:before="560" w:afterLines="50" w:after="120"/>
      <w:ind w:left="0"/>
      <w:jc w:val="center"/>
      <w:outlineLvl w:val="0"/>
    </w:pPr>
    <w:rPr>
      <w:rFonts w:ascii="黑体" w:eastAsia="黑体" w:hAnsi="Times New Roman"/>
      <w:sz w:val="21"/>
    </w:rPr>
  </w:style>
  <w:style w:type="paragraph" w:customStyle="1" w:styleId="aff">
    <w:name w:val="标准文件_附录表标题"/>
    <w:next w:val="afffffa"/>
    <w:autoRedefin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a"/>
    <w:autoRedefin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a"/>
    <w:autoRedefine/>
    <w:qFormat/>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a"/>
    <w:autoRedefin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a"/>
    <w:autoRedefin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a"/>
    <w:autoRedefin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a"/>
    <w:autoRedefin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c"/>
    <w:autoRedefine/>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qFormat/>
    <w:rPr>
      <w:kern w:val="2"/>
      <w:sz w:val="21"/>
      <w:szCs w:val="21"/>
    </w:rPr>
  </w:style>
  <w:style w:type="paragraph" w:customStyle="1" w:styleId="affffffc">
    <w:name w:val="标准文件_附录章标题"/>
    <w:next w:val="afffffa"/>
    <w:autoRedefin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d">
    <w:name w:val="标准文件_公式后的破折号"/>
    <w:basedOn w:val="afffffa"/>
    <w:next w:val="afffffa"/>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e">
    <w:name w:val="标准文件_目次、标准名称标题"/>
    <w:basedOn w:val="a6"/>
    <w:next w:val="afffffa"/>
    <w:autoRedefine/>
    <w:qFormat/>
    <w:pPr>
      <w:spacing w:line="460" w:lineRule="exact"/>
      <w:ind w:left="0" w:firstLine="0"/>
    </w:pPr>
  </w:style>
  <w:style w:type="paragraph" w:customStyle="1" w:styleId="afffffff">
    <w:name w:val="标准文件_目录标题"/>
    <w:basedOn w:val="afff5"/>
    <w:autoRedefine/>
    <w:qFormat/>
    <w:pPr>
      <w:spacing w:before="480"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autoRedefine/>
    <w:qFormat/>
    <w:pPr>
      <w:numPr>
        <w:numId w:val="10"/>
      </w:numPr>
    </w:pPr>
  </w:style>
  <w:style w:type="paragraph" w:customStyle="1" w:styleId="afff">
    <w:name w:val="标准文件_三级条标题"/>
    <w:basedOn w:val="affe"/>
    <w:next w:val="afffffa"/>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f0">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fa"/>
    <w:autoRedefin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5">
    <w:name w:val="脚注文本 字符"/>
    <w:link w:val="affff4"/>
    <w:autoRedefine/>
    <w:semiHidden/>
    <w:qFormat/>
    <w:rPr>
      <w:rFonts w:ascii="宋体"/>
      <w:kern w:val="2"/>
      <w:sz w:val="18"/>
      <w:szCs w:val="18"/>
    </w:rPr>
  </w:style>
  <w:style w:type="paragraph" w:customStyle="1" w:styleId="afffffff1">
    <w:name w:val="标准文件_条文脚注"/>
    <w:basedOn w:val="affff4"/>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a"/>
    <w:autoRedefine/>
    <w:qFormat/>
    <w:pPr>
      <w:numPr>
        <w:numId w:val="12"/>
      </w:numPr>
      <w:spacing w:line="240" w:lineRule="auto"/>
      <w:jc w:val="left"/>
    </w:pPr>
    <w:rPr>
      <w:rFonts w:ascii="宋体" w:hAnsi="宋体"/>
      <w:sz w:val="18"/>
    </w:rPr>
  </w:style>
  <w:style w:type="character" w:customStyle="1" w:styleId="afffffff2">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a"/>
    <w:autoRedefin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a"/>
    <w:autoRedefin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a"/>
    <w:autoRedefine/>
    <w:qFormat/>
    <w:pPr>
      <w:numPr>
        <w:ilvl w:val="2"/>
      </w:numPr>
      <w:spacing w:beforeLines="50" w:before="50" w:afterLines="50" w:after="50"/>
      <w:outlineLvl w:val="1"/>
    </w:pPr>
  </w:style>
  <w:style w:type="paragraph" w:customStyle="1" w:styleId="afffffff3">
    <w:name w:val="标准文件_一致程度"/>
    <w:basedOn w:val="afff5"/>
    <w:autoRedefine/>
    <w:qFormat/>
    <w:pPr>
      <w:spacing w:line="440" w:lineRule="exact"/>
      <w:jc w:val="center"/>
    </w:pPr>
    <w:rPr>
      <w:sz w:val="28"/>
    </w:rPr>
  </w:style>
  <w:style w:type="paragraph" w:customStyle="1" w:styleId="afffffff4">
    <w:name w:val="标准文件_引言标题"/>
    <w:next w:val="afff5"/>
    <w:autoRedefine/>
    <w:qFormat/>
    <w:pPr>
      <w:shd w:val="clear" w:color="FFFFFF" w:fill="FFFFFF"/>
      <w:spacing w:before="540" w:after="600"/>
      <w:jc w:val="center"/>
      <w:outlineLvl w:val="0"/>
    </w:pPr>
    <w:rPr>
      <w:rFonts w:ascii="黑体" w:eastAsia="黑体" w:hAnsi="Times New Roman"/>
      <w:sz w:val="32"/>
    </w:rPr>
  </w:style>
  <w:style w:type="paragraph" w:customStyle="1" w:styleId="afffffff5">
    <w:name w:val="标准文件_英文图表脚注"/>
    <w:basedOn w:val="afffff9"/>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jc w:val="both"/>
    </w:pPr>
    <w:rPr>
      <w:rFonts w:ascii="宋体" w:hAnsi="Times New Roman"/>
      <w:sz w:val="21"/>
    </w:rPr>
  </w:style>
  <w:style w:type="paragraph" w:customStyle="1" w:styleId="af">
    <w:name w:val="标准文件_英文注："/>
    <w:basedOn w:val="afff5"/>
    <w:next w:val="afffffa"/>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a"/>
    <w:autoRedefin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6">
    <w:name w:val="标准文件_正文公式"/>
    <w:basedOn w:val="afff5"/>
    <w:next w:val="afffff9"/>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a"/>
    <w:autoRedefin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a"/>
    <w:autoRedefine/>
    <w:qFormat/>
    <w:pPr>
      <w:numPr>
        <w:numId w:val="18"/>
      </w:numPr>
      <w:jc w:val="center"/>
    </w:pPr>
    <w:rPr>
      <w:rFonts w:ascii="黑体" w:eastAsia="黑体" w:hAnsi="Times New Roman"/>
      <w:sz w:val="21"/>
    </w:rPr>
  </w:style>
  <w:style w:type="paragraph" w:customStyle="1" w:styleId="afb">
    <w:name w:val="标准文件_正文英文图标题"/>
    <w:next w:val="afffffa"/>
    <w:autoRedefine/>
    <w:qFormat/>
    <w:pPr>
      <w:numPr>
        <w:numId w:val="19"/>
      </w:numPr>
      <w:jc w:val="center"/>
    </w:pPr>
    <w:rPr>
      <w:rFonts w:ascii="黑体" w:eastAsia="黑体" w:hAnsi="Times New Roman"/>
      <w:sz w:val="21"/>
    </w:rPr>
  </w:style>
  <w:style w:type="paragraph" w:customStyle="1" w:styleId="af7">
    <w:name w:val="标准文件_编号列项（三级）"/>
    <w:autoRedefine/>
    <w:qFormat/>
    <w:pPr>
      <w:numPr>
        <w:ilvl w:val="2"/>
        <w:numId w:val="13"/>
      </w:numPr>
    </w:pPr>
    <w:rPr>
      <w:rFonts w:ascii="宋体" w:hAnsi="Times New Roman"/>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f7">
    <w:name w:val="发布部门"/>
    <w:next w:val="afffffa"/>
    <w:autoRedefin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8">
    <w:name w:val="发布日期"/>
    <w:autoRedefine/>
    <w:qFormat/>
    <w:pPr>
      <w:framePr w:w="4000" w:h="473" w:hRule="exact" w:hSpace="180" w:vSpace="180" w:wrap="around" w:hAnchor="margin" w:y="13511" w:anchorLock="1"/>
    </w:pPr>
    <w:rPr>
      <w:rFonts w:ascii="Times New Roman" w:eastAsia="黑体" w:hAnsi="Times New Roman"/>
      <w:sz w:val="28"/>
    </w:rPr>
  </w:style>
  <w:style w:type="paragraph" w:customStyle="1" w:styleId="afffffff9">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b">
    <w:name w:val="封面标准文稿编辑信息"/>
    <w:autoRedefine/>
    <w:qFormat/>
    <w:pPr>
      <w:spacing w:before="180" w:line="180" w:lineRule="exact"/>
      <w:jc w:val="center"/>
    </w:pPr>
    <w:rPr>
      <w:rFonts w:ascii="宋体" w:hAnsi="Times New Roman"/>
      <w:sz w:val="21"/>
    </w:rPr>
  </w:style>
  <w:style w:type="paragraph" w:customStyle="1" w:styleId="afffffffc">
    <w:name w:val="封面标准文稿类别"/>
    <w:autoRedefine/>
    <w:qFormat/>
    <w:pPr>
      <w:spacing w:before="440" w:line="400" w:lineRule="exact"/>
      <w:jc w:val="center"/>
    </w:pPr>
    <w:rPr>
      <w:rFonts w:ascii="宋体" w:hAnsi="Times New Roman"/>
      <w:sz w:val="24"/>
    </w:rPr>
  </w:style>
  <w:style w:type="paragraph" w:customStyle="1" w:styleId="afffffffd">
    <w:name w:val="封面标准英文名称"/>
    <w:autoRedefine/>
    <w:qFormat/>
    <w:pPr>
      <w:widowControl w:val="0"/>
      <w:spacing w:line="360" w:lineRule="exact"/>
      <w:jc w:val="center"/>
    </w:pPr>
    <w:rPr>
      <w:rFonts w:ascii="Times New Roman" w:hAnsi="Times New Roman"/>
      <w:sz w:val="28"/>
    </w:rPr>
  </w:style>
  <w:style w:type="paragraph" w:customStyle="1" w:styleId="afffffffe">
    <w:name w:val="封面一致性程度标识"/>
    <w:autoRedefine/>
    <w:qFormat/>
    <w:pPr>
      <w:spacing w:before="440" w:line="440" w:lineRule="exact"/>
      <w:jc w:val="center"/>
    </w:pPr>
    <w:rPr>
      <w:rFonts w:ascii="Times New Roman" w:hAnsi="Times New Roman"/>
      <w:sz w:val="28"/>
    </w:rPr>
  </w:style>
  <w:style w:type="paragraph" w:customStyle="1" w:styleId="affffffff">
    <w:name w:val="封面正文"/>
    <w:autoRedefine/>
    <w:qFormat/>
    <w:pPr>
      <w:jc w:val="both"/>
    </w:pPr>
    <w:rPr>
      <w:rFonts w:ascii="Times New Roman" w:hAnsi="Times New Roman"/>
    </w:rPr>
  </w:style>
  <w:style w:type="paragraph" w:customStyle="1" w:styleId="affffffff0">
    <w:name w:val="附录二级无标题条"/>
    <w:basedOn w:val="afff5"/>
    <w:next w:val="afffffa"/>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autoRedefine/>
    <w:qFormat/>
    <w:pPr>
      <w:outlineLvl w:val="4"/>
    </w:pPr>
  </w:style>
  <w:style w:type="paragraph" w:customStyle="1" w:styleId="affffffff2">
    <w:name w:val="附录四级无标题条"/>
    <w:basedOn w:val="affffffff1"/>
    <w:next w:val="afffffa"/>
    <w:autoRedefine/>
    <w:qFormat/>
    <w:pPr>
      <w:outlineLvl w:val="5"/>
    </w:pPr>
  </w:style>
  <w:style w:type="paragraph" w:customStyle="1" w:styleId="affffffff3">
    <w:name w:val="附录图"/>
    <w:next w:val="afffffa"/>
    <w:autoRedefin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autoRedefine/>
    <w:qFormat/>
    <w:pPr>
      <w:numPr>
        <w:numId w:val="21"/>
      </w:numPr>
    </w:pPr>
    <w:rPr>
      <w:rFonts w:ascii="宋体" w:hAnsi="Times New Roman"/>
      <w:sz w:val="21"/>
    </w:rPr>
  </w:style>
  <w:style w:type="paragraph" w:customStyle="1" w:styleId="affffffff4">
    <w:name w:val="附录五级无标题条"/>
    <w:basedOn w:val="affffffff2"/>
    <w:next w:val="afffffa"/>
    <w:autoRedefine/>
    <w:qFormat/>
    <w:pPr>
      <w:outlineLvl w:val="6"/>
    </w:pPr>
  </w:style>
  <w:style w:type="paragraph" w:customStyle="1" w:styleId="affffffff5">
    <w:name w:val="附录性质"/>
    <w:basedOn w:val="afff5"/>
    <w:autoRedefine/>
    <w:qFormat/>
    <w:pPr>
      <w:widowControl/>
      <w:adjustRightInd/>
      <w:jc w:val="center"/>
    </w:pPr>
    <w:rPr>
      <w:rFonts w:ascii="黑体" w:eastAsia="黑体"/>
    </w:rPr>
  </w:style>
  <w:style w:type="paragraph" w:customStyle="1" w:styleId="affffffff6">
    <w:name w:val="附录一级无标题条"/>
    <w:basedOn w:val="affffffc"/>
    <w:next w:val="afffffa"/>
    <w:autoRedefine/>
    <w:qFormat/>
    <w:pPr>
      <w:autoSpaceDN w:val="0"/>
      <w:outlineLvl w:val="2"/>
    </w:pPr>
    <w:rPr>
      <w:rFonts w:ascii="宋体" w:eastAsia="宋体" w:hAnsi="宋体"/>
    </w:rPr>
  </w:style>
  <w:style w:type="character" w:customStyle="1" w:styleId="affffffff7">
    <w:name w:val="个人答复风格"/>
    <w:autoRedefine/>
    <w:qFormat/>
    <w:rPr>
      <w:rFonts w:ascii="Arial" w:eastAsia="宋体" w:hAnsi="Arial" w:cs="Arial"/>
      <w:color w:val="auto"/>
      <w:spacing w:val="0"/>
      <w:sz w:val="20"/>
    </w:rPr>
  </w:style>
  <w:style w:type="character" w:customStyle="1" w:styleId="affffffff8">
    <w:name w:val="个人撰写风格"/>
    <w:autoRedefine/>
    <w:qFormat/>
    <w:rPr>
      <w:rFonts w:ascii="Arial" w:eastAsia="宋体" w:hAnsi="Arial" w:cs="Arial"/>
      <w:color w:val="auto"/>
      <w:spacing w:val="0"/>
      <w:sz w:val="20"/>
    </w:rPr>
  </w:style>
  <w:style w:type="paragraph" w:customStyle="1" w:styleId="affffffff9">
    <w:name w:val="脚注后续"/>
    <w:autoRedefine/>
    <w:qFormat/>
    <w:pPr>
      <w:ind w:leftChars="350" w:left="350"/>
      <w:jc w:val="both"/>
    </w:pPr>
    <w:rPr>
      <w:rFonts w:ascii="宋体" w:hAnsi="Times New Roman"/>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fa">
    <w:name w:val="列项·"/>
    <w:basedOn w:val="afffffa"/>
    <w:autoRedefine/>
    <w:qFormat/>
    <w:pPr>
      <w:tabs>
        <w:tab w:val="left" w:pos="840"/>
      </w:tabs>
    </w:pPr>
  </w:style>
  <w:style w:type="paragraph" w:customStyle="1" w:styleId="affffffffb">
    <w:name w:val="目次、索引正文"/>
    <w:autoRedefine/>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c">
    <w:name w:val="其他标准称谓"/>
    <w:autoRedefine/>
    <w:qFormat/>
    <w:pPr>
      <w:spacing w:line="0" w:lineRule="atLeast"/>
      <w:jc w:val="distribute"/>
    </w:pPr>
    <w:rPr>
      <w:rFonts w:ascii="黑体" w:eastAsia="黑体" w:hAnsi="宋体"/>
      <w:sz w:val="52"/>
    </w:rPr>
  </w:style>
  <w:style w:type="paragraph" w:customStyle="1" w:styleId="affffffffd">
    <w:name w:val="其他发布部门"/>
    <w:basedOn w:val="afffffff7"/>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e">
    <w:name w:val="实施日期"/>
    <w:basedOn w:val="afffffff8"/>
    <w:autoRedefine/>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f">
    <w:name w:val="文献分类号"/>
    <w:autoRedefine/>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0">
    <w:name w:val="无标题条"/>
    <w:next w:val="afffffa"/>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f1">
    <w:name w:val="注:后续"/>
    <w:autoRedefine/>
    <w:qFormat/>
    <w:pPr>
      <w:spacing w:line="300" w:lineRule="exact"/>
      <w:ind w:leftChars="400" w:left="600" w:hangingChars="200" w:hanging="200"/>
      <w:jc w:val="both"/>
    </w:pPr>
    <w:rPr>
      <w:rFonts w:ascii="宋体" w:hAnsi="Times New Roman"/>
      <w:sz w:val="18"/>
    </w:rPr>
  </w:style>
  <w:style w:type="paragraph" w:customStyle="1" w:styleId="afffffffff2">
    <w:name w:val="注×:后续"/>
    <w:basedOn w:val="afffffffff1"/>
    <w:autoRedefine/>
    <w:qFormat/>
    <w:pPr>
      <w:ind w:leftChars="0" w:left="1406" w:firstLineChars="0" w:hanging="499"/>
    </w:pPr>
  </w:style>
  <w:style w:type="paragraph" w:customStyle="1" w:styleId="afffffffff3">
    <w:name w:val="标准文件_一级无标题"/>
    <w:basedOn w:val="affd"/>
    <w:autoRedefine/>
    <w:qFormat/>
    <w:pPr>
      <w:spacing w:beforeLines="0" w:before="0" w:afterLines="0" w:after="0"/>
      <w:outlineLvl w:val="9"/>
    </w:pPr>
    <w:rPr>
      <w:rFonts w:ascii="宋体" w:eastAsia="宋体"/>
    </w:rPr>
  </w:style>
  <w:style w:type="paragraph" w:customStyle="1" w:styleId="afffffffff4">
    <w:name w:val="标准文件_五级无标题"/>
    <w:basedOn w:val="afff1"/>
    <w:autoRedefine/>
    <w:qFormat/>
    <w:pPr>
      <w:spacing w:beforeLines="0" w:before="0" w:afterLines="0" w:after="0"/>
      <w:outlineLvl w:val="9"/>
    </w:pPr>
    <w:rPr>
      <w:rFonts w:ascii="宋体" w:eastAsia="宋体"/>
    </w:rPr>
  </w:style>
  <w:style w:type="paragraph" w:customStyle="1" w:styleId="afffffffff5">
    <w:name w:val="标准文件_三级无标题"/>
    <w:basedOn w:val="afff"/>
    <w:autoRedefine/>
    <w:qFormat/>
    <w:pPr>
      <w:spacing w:beforeLines="0" w:before="0" w:afterLines="0" w:after="0"/>
      <w:outlineLvl w:val="9"/>
    </w:pPr>
    <w:rPr>
      <w:rFonts w:ascii="宋体" w:eastAsia="宋体"/>
    </w:rPr>
  </w:style>
  <w:style w:type="paragraph" w:customStyle="1" w:styleId="afffffffff6">
    <w:name w:val="标准文件_二级无标题"/>
    <w:basedOn w:val="affe"/>
    <w:autoRedefine/>
    <w:qFormat/>
    <w:pPr>
      <w:spacing w:beforeLines="0" w:before="0" w:afterLines="0" w:after="0"/>
      <w:outlineLvl w:val="9"/>
    </w:pPr>
    <w:rPr>
      <w:rFonts w:ascii="宋体" w:eastAsia="宋体"/>
    </w:rPr>
  </w:style>
  <w:style w:type="paragraph" w:customStyle="1" w:styleId="afffffffff7">
    <w:name w:val="标准_四级无标题"/>
    <w:basedOn w:val="afff0"/>
    <w:next w:val="afffffa"/>
    <w:autoRedefine/>
    <w:qFormat/>
    <w:rPr>
      <w:rFonts w:eastAsia="宋体"/>
    </w:rPr>
  </w:style>
  <w:style w:type="paragraph" w:customStyle="1" w:styleId="afffffffff8">
    <w:name w:val="标准文件_四级无标题"/>
    <w:basedOn w:val="afff0"/>
    <w:autoRedefine/>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a"/>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a"/>
    <w:autoRedefine/>
    <w:qFormat/>
    <w:pPr>
      <w:numPr>
        <w:numId w:val="24"/>
      </w:numPr>
      <w:ind w:firstLineChars="0" w:firstLine="0"/>
    </w:pPr>
    <w:rPr>
      <w:rFonts w:cs="Arial"/>
      <w:szCs w:val="28"/>
    </w:rPr>
  </w:style>
  <w:style w:type="paragraph" w:customStyle="1" w:styleId="afffffffff9">
    <w:name w:val="标准文件_附录标题"/>
    <w:basedOn w:val="aff3"/>
    <w:autoRedefine/>
    <w:qFormat/>
    <w:pPr>
      <w:numPr>
        <w:numId w:val="0"/>
      </w:numPr>
      <w:spacing w:after="280"/>
      <w:outlineLvl w:val="9"/>
    </w:pPr>
  </w:style>
  <w:style w:type="paragraph" w:customStyle="1" w:styleId="afffffffffa">
    <w:name w:val="标准文件_二级项"/>
    <w:autoRedefine/>
    <w:qFormat/>
    <w:rPr>
      <w:rFonts w:ascii="宋体" w:hAnsi="Times New Roman"/>
      <w:sz w:val="21"/>
    </w:rPr>
  </w:style>
  <w:style w:type="paragraph" w:customStyle="1" w:styleId="af3">
    <w:name w:val="标准文件_三级项"/>
    <w:basedOn w:val="afff5"/>
    <w:autoRedefine/>
    <w:qFormat/>
    <w:pPr>
      <w:numPr>
        <w:ilvl w:val="2"/>
        <w:numId w:val="21"/>
      </w:numPr>
      <w:spacing w:line="-300" w:lineRule="auto"/>
    </w:pPr>
    <w:rPr>
      <w:rFonts w:ascii="Times New Roman" w:hAnsi="Times New Roman"/>
    </w:rPr>
  </w:style>
  <w:style w:type="paragraph" w:customStyle="1" w:styleId="affa">
    <w:name w:val="图表脚注说明"/>
    <w:basedOn w:val="afff5"/>
    <w:next w:val="afffffa"/>
    <w:autoRedefine/>
    <w:qFormat/>
    <w:pPr>
      <w:numPr>
        <w:numId w:val="25"/>
      </w:numPr>
      <w:adjustRightInd/>
      <w:spacing w:line="240" w:lineRule="auto"/>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hAnsi="Times New Roman"/>
      <w:sz w:val="21"/>
    </w:rPr>
  </w:style>
  <w:style w:type="paragraph" w:customStyle="1" w:styleId="afffffffffb">
    <w:name w:val="标准文件_索引字母"/>
    <w:next w:val="afffffa"/>
    <w:autoRedefine/>
    <w:qFormat/>
    <w:pPr>
      <w:jc w:val="center"/>
    </w:pPr>
    <w:rPr>
      <w:rFonts w:ascii="宋体" w:eastAsia="Times New Roman" w:hAnsi="宋体"/>
      <w:b/>
      <w:kern w:val="2"/>
      <w:sz w:val="21"/>
    </w:rPr>
  </w:style>
  <w:style w:type="paragraph" w:customStyle="1" w:styleId="afffffffffc">
    <w:name w:val="标准文件_附录前"/>
    <w:next w:val="afffffa"/>
    <w:autoRedefine/>
    <w:qFormat/>
    <w:pPr>
      <w:spacing w:line="20" w:lineRule="atLeast"/>
      <w:ind w:firstLine="200"/>
    </w:pPr>
    <w:rPr>
      <w:rFonts w:ascii="宋体" w:hAnsi="宋体"/>
      <w:kern w:val="2"/>
      <w:sz w:val="10"/>
    </w:rPr>
  </w:style>
  <w:style w:type="paragraph" w:customStyle="1" w:styleId="afffffffffd">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autoRedefine/>
    <w:qFormat/>
    <w:pPr>
      <w:ind w:firstLineChars="0" w:firstLine="0"/>
      <w:jc w:val="center"/>
    </w:pPr>
    <w:rPr>
      <w:sz w:val="18"/>
    </w:rPr>
  </w:style>
  <w:style w:type="paragraph" w:customStyle="1" w:styleId="afff2">
    <w:name w:val="标准文件_注："/>
    <w:next w:val="afffffa"/>
    <w:autoRedefine/>
    <w:qFormat/>
    <w:pPr>
      <w:widowControl w:val="0"/>
      <w:numPr>
        <w:numId w:val="26"/>
      </w:numPr>
      <w:autoSpaceDE w:val="0"/>
      <w:autoSpaceDN w:val="0"/>
      <w:jc w:val="both"/>
    </w:pPr>
    <w:rPr>
      <w:rFonts w:ascii="宋体" w:hAnsi="Times New Roman"/>
      <w:sz w:val="18"/>
      <w:szCs w:val="18"/>
    </w:rPr>
  </w:style>
  <w:style w:type="paragraph" w:customStyle="1" w:styleId="a5">
    <w:name w:val="标准文件_注×："/>
    <w:autoRedefine/>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
    <w:autoRedefine/>
    <w:qFormat/>
    <w:pPr>
      <w:widowControl w:val="0"/>
      <w:numPr>
        <w:numId w:val="28"/>
      </w:numPr>
      <w:jc w:val="both"/>
    </w:pPr>
    <w:rPr>
      <w:rFonts w:ascii="宋体" w:hAnsi="Times New Roman"/>
      <w:sz w:val="18"/>
      <w:szCs w:val="18"/>
    </w:rPr>
  </w:style>
  <w:style w:type="paragraph" w:customStyle="1" w:styleId="affffffffff">
    <w:name w:val="标准文件_示例内容"/>
    <w:basedOn w:val="afffffa"/>
    <w:autoRedefine/>
    <w:qFormat/>
    <w:pPr>
      <w:ind w:firstLine="420"/>
    </w:pPr>
    <w:rPr>
      <w:sz w:val="18"/>
    </w:rPr>
  </w:style>
  <w:style w:type="paragraph" w:customStyle="1" w:styleId="afa">
    <w:name w:val="标准文件_示例×："/>
    <w:basedOn w:val="afff5"/>
    <w:next w:val="affffffffff"/>
    <w:autoRedefin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autoRedefine/>
    <w:qFormat/>
    <w:rPr>
      <w:rFonts w:ascii="宋体" w:hAnsi="Times New Roman"/>
      <w:sz w:val="21"/>
    </w:rPr>
  </w:style>
  <w:style w:type="paragraph" w:customStyle="1" w:styleId="affffffffff0">
    <w:name w:val="标准文件_表格续"/>
    <w:basedOn w:val="afffffa"/>
    <w:next w:val="afffffa"/>
    <w:autoRedefine/>
    <w:qFormat/>
    <w:pPr>
      <w:jc w:val="center"/>
    </w:pPr>
    <w:rPr>
      <w:rFonts w:ascii="黑体" w:eastAsia="黑体" w:hAnsi="黑体"/>
    </w:rPr>
  </w:style>
  <w:style w:type="character" w:styleId="affffffffff1">
    <w:name w:val="Placeholder Text"/>
    <w:basedOn w:val="afff6"/>
    <w:autoRedefine/>
    <w:uiPriority w:val="99"/>
    <w:semiHidden/>
    <w:qFormat/>
    <w:rPr>
      <w:color w:val="808080"/>
    </w:rPr>
  </w:style>
  <w:style w:type="paragraph" w:customStyle="1" w:styleId="2">
    <w:name w:val="标准文件_二级项2"/>
    <w:basedOn w:val="afffffa"/>
    <w:autoRedefine/>
    <w:qFormat/>
    <w:pPr>
      <w:numPr>
        <w:ilvl w:val="1"/>
        <w:numId w:val="21"/>
      </w:numPr>
      <w:ind w:firstLineChars="0" w:firstLine="0"/>
    </w:pPr>
  </w:style>
  <w:style w:type="paragraph" w:customStyle="1" w:styleId="21">
    <w:name w:val="标准文件_三级项2"/>
    <w:basedOn w:val="afffffa"/>
    <w:autoRedefine/>
    <w:qFormat/>
    <w:pPr>
      <w:numPr>
        <w:numId w:val="30"/>
      </w:numPr>
      <w:spacing w:line="300" w:lineRule="exact"/>
      <w:ind w:firstLineChars="0"/>
    </w:pPr>
    <w:rPr>
      <w:rFonts w:ascii="Times New Roman"/>
    </w:rPr>
  </w:style>
  <w:style w:type="paragraph" w:customStyle="1" w:styleId="20">
    <w:name w:val="标准文件_一级项2"/>
    <w:basedOn w:val="afffffa"/>
    <w:autoRedefine/>
    <w:qFormat/>
    <w:pPr>
      <w:numPr>
        <w:numId w:val="31"/>
      </w:numPr>
      <w:spacing w:line="300" w:lineRule="exact"/>
      <w:ind w:firstLineChars="0"/>
    </w:pPr>
    <w:rPr>
      <w:rFonts w:ascii="Times New Roman"/>
    </w:rPr>
  </w:style>
  <w:style w:type="paragraph" w:customStyle="1" w:styleId="affffffffff2">
    <w:name w:val="标准文件_提示"/>
    <w:basedOn w:val="afffffa"/>
    <w:next w:val="afffffa"/>
    <w:autoRedefine/>
    <w:qFormat/>
    <w:pPr>
      <w:ind w:firstLine="420"/>
    </w:pPr>
    <w:rPr>
      <w:rFonts w:ascii="黑体" w:eastAsia="黑体"/>
    </w:rPr>
  </w:style>
  <w:style w:type="character" w:customStyle="1" w:styleId="affffffffff3">
    <w:name w:val="标准文件_来源"/>
    <w:basedOn w:val="afff6"/>
    <w:autoRedefine/>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autoRedefine/>
    <w:qFormat/>
    <w:pPr>
      <w:framePr w:w="3997" w:h="471" w:hRule="exact" w:hSpace="0" w:vSpace="181" w:wrap="around" w:vAnchor="page" w:hAnchor="page" w:x="1419" w:y="14097"/>
    </w:pPr>
  </w:style>
  <w:style w:type="paragraph" w:customStyle="1" w:styleId="affffffffff6">
    <w:name w:val="其他实施日期"/>
    <w:basedOn w:val="affffffffe"/>
    <w:autoRedefine/>
    <w:qFormat/>
    <w:pPr>
      <w:framePr w:w="3997" w:h="471" w:hRule="exact" w:vSpace="181" w:wrap="around" w:vAnchor="page" w:hAnchor="page" w:x="7089" w:y="14097"/>
    </w:pPr>
  </w:style>
  <w:style w:type="paragraph" w:customStyle="1" w:styleId="affffffffff7">
    <w:name w:val="标准文件_文件编号"/>
    <w:basedOn w:val="afffffa"/>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autoRedefine/>
    <w:qFormat/>
    <w:pPr>
      <w:framePr w:wrap="auto"/>
      <w:spacing w:before="57"/>
    </w:pPr>
    <w:rPr>
      <w:sz w:val="21"/>
    </w:rPr>
  </w:style>
  <w:style w:type="paragraph" w:customStyle="1" w:styleId="affffffffff9">
    <w:name w:val="标准文件_文件名称"/>
    <w:basedOn w:val="afffffa"/>
    <w:next w:val="afffffa"/>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a"/>
    <w:next w:val="afffffa"/>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autoRedefine/>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autoRedefine/>
    <w:qFormat/>
    <w:pPr>
      <w:ind w:left="811" w:firstLineChars="0" w:firstLine="0"/>
    </w:pPr>
    <w:rPr>
      <w:sz w:val="18"/>
    </w:rPr>
  </w:style>
  <w:style w:type="paragraph" w:customStyle="1" w:styleId="X">
    <w:name w:val="标准文件_注X后"/>
    <w:basedOn w:val="afffffa"/>
    <w:autoRedefine/>
    <w:qFormat/>
    <w:pPr>
      <w:ind w:left="811" w:firstLineChars="0" w:firstLine="0"/>
    </w:pPr>
    <w:rPr>
      <w:sz w:val="18"/>
    </w:rPr>
  </w:style>
  <w:style w:type="paragraph" w:customStyle="1" w:styleId="affffffffffb">
    <w:name w:val="标准文件_示例后"/>
    <w:basedOn w:val="afffffa"/>
    <w:autoRedefine/>
    <w:qFormat/>
    <w:pPr>
      <w:ind w:left="964" w:firstLineChars="0" w:firstLine="0"/>
    </w:pPr>
    <w:rPr>
      <w:sz w:val="18"/>
    </w:rPr>
  </w:style>
  <w:style w:type="paragraph" w:customStyle="1" w:styleId="X0">
    <w:name w:val="标准文件_示例X后"/>
    <w:basedOn w:val="afffffa"/>
    <w:link w:val="X1"/>
    <w:autoRedefine/>
    <w:qFormat/>
    <w:pPr>
      <w:ind w:left="1049" w:firstLineChars="0" w:firstLine="0"/>
    </w:pPr>
    <w:rPr>
      <w:sz w:val="18"/>
    </w:rPr>
  </w:style>
  <w:style w:type="character" w:customStyle="1" w:styleId="X1">
    <w:name w:val="标准文件_示例X后 字符"/>
    <w:basedOn w:val="Char"/>
    <w:link w:val="X0"/>
    <w:autoRedefine/>
    <w:qFormat/>
    <w:rPr>
      <w:rFonts w:ascii="宋体" w:hAnsi="Times New Roman"/>
      <w:sz w:val="18"/>
    </w:rPr>
  </w:style>
  <w:style w:type="paragraph" w:customStyle="1" w:styleId="affffffffffc">
    <w:name w:val="标准文件_索引项"/>
    <w:basedOn w:val="afffffa"/>
    <w:next w:val="afffffa"/>
    <w:autoRedefine/>
    <w:qFormat/>
    <w:pPr>
      <w:tabs>
        <w:tab w:val="right" w:leader="dot" w:pos="9356"/>
      </w:tabs>
      <w:ind w:left="210" w:firstLineChars="0" w:hanging="210"/>
      <w:jc w:val="left"/>
    </w:pPr>
  </w:style>
  <w:style w:type="paragraph" w:customStyle="1" w:styleId="affffffffffd">
    <w:name w:val="标准文件_附录一级无标题"/>
    <w:basedOn w:val="aff4"/>
    <w:autoRedefine/>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5"/>
    <w:autoRedefine/>
    <w:qFormat/>
    <w:pPr>
      <w:spacing w:beforeLines="0" w:before="0" w:afterLines="0" w:after="0" w:line="276" w:lineRule="auto"/>
      <w:outlineLvl w:val="9"/>
    </w:pPr>
    <w:rPr>
      <w:rFonts w:ascii="宋体" w:eastAsia="宋体"/>
    </w:rPr>
  </w:style>
  <w:style w:type="paragraph" w:customStyle="1" w:styleId="afffffffffff">
    <w:name w:val="标准文件_附录三级无标题"/>
    <w:basedOn w:val="aff6"/>
    <w:autoRedefine/>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7"/>
    <w:autoRedefine/>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8"/>
    <w:autoRedefine/>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autoRedefine/>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autoRedefine/>
    <w:qFormat/>
    <w:pPr>
      <w:spacing w:beforeLines="0" w:before="0" w:afterLines="0" w:after="0" w:line="276" w:lineRule="auto"/>
    </w:pPr>
    <w:rPr>
      <w:rFonts w:ascii="宋体" w:eastAsia="宋体"/>
    </w:rPr>
  </w:style>
  <w:style w:type="paragraph" w:customStyle="1" w:styleId="afffffffffff4">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autoRedefine/>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autoRedefine/>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autoRedefine/>
    <w:qFormat/>
    <w:rPr>
      <w:rFonts w:hAnsi="黑体"/>
    </w:rPr>
  </w:style>
  <w:style w:type="paragraph" w:customStyle="1" w:styleId="afffffffffff8">
    <w:name w:val="标准文件_脚注内容"/>
    <w:basedOn w:val="afffffa"/>
    <w:autoRedefine/>
    <w:qFormat/>
    <w:pPr>
      <w:ind w:leftChars="200" w:left="400" w:hangingChars="200" w:hanging="200"/>
    </w:pPr>
    <w:rPr>
      <w:sz w:val="15"/>
    </w:rPr>
  </w:style>
  <w:style w:type="paragraph" w:customStyle="1" w:styleId="afffffffffff9">
    <w:name w:val="标准文件_术语条一"/>
    <w:basedOn w:val="afffffffff3"/>
    <w:next w:val="afffffa"/>
    <w:autoRedefine/>
    <w:qFormat/>
  </w:style>
  <w:style w:type="paragraph" w:customStyle="1" w:styleId="afffffffffffa">
    <w:name w:val="标准文件_术语条二"/>
    <w:basedOn w:val="afffffffff6"/>
    <w:next w:val="afffffa"/>
    <w:autoRedefine/>
    <w:qFormat/>
  </w:style>
  <w:style w:type="paragraph" w:customStyle="1" w:styleId="afffffffffffb">
    <w:name w:val="标准文件_术语条三"/>
    <w:basedOn w:val="afffffffff5"/>
    <w:next w:val="afffffa"/>
    <w:autoRedefine/>
    <w:qFormat/>
  </w:style>
  <w:style w:type="paragraph" w:customStyle="1" w:styleId="afffffffffffc">
    <w:name w:val="标准文件_术语条四"/>
    <w:basedOn w:val="afffffffff8"/>
    <w:next w:val="afffffa"/>
    <w:autoRedefine/>
    <w:qFormat/>
  </w:style>
  <w:style w:type="paragraph" w:customStyle="1" w:styleId="afffffffffffd">
    <w:name w:val="标准文件_术语条五"/>
    <w:basedOn w:val="afffffffff4"/>
    <w:next w:val="afffffa"/>
    <w:autoRedefine/>
    <w:qFormat/>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character" w:customStyle="1" w:styleId="afffffffffffe">
    <w:name w:val="发布"/>
    <w:basedOn w:val="afff6"/>
    <w:autoRedefine/>
    <w:qFormat/>
    <w:rPr>
      <w:rFonts w:ascii="黑体" w:eastAsia="黑体"/>
      <w:spacing w:val="85"/>
      <w:w w:val="100"/>
      <w:position w:val="3"/>
      <w:sz w:val="28"/>
      <w:szCs w:val="28"/>
    </w:rPr>
  </w:style>
  <w:style w:type="character" w:customStyle="1" w:styleId="afffb">
    <w:name w:val="批注文字 字符"/>
    <w:basedOn w:val="afff6"/>
    <w:link w:val="afffa"/>
    <w:autoRedefine/>
    <w:uiPriority w:val="99"/>
    <w:qFormat/>
    <w:rPr>
      <w:kern w:val="2"/>
      <w:sz w:val="21"/>
      <w:szCs w:val="21"/>
    </w:rPr>
  </w:style>
  <w:style w:type="character" w:customStyle="1" w:styleId="affffa">
    <w:name w:val="批注主题 字符"/>
    <w:basedOn w:val="afffb"/>
    <w:link w:val="affff9"/>
    <w:autoRedefine/>
    <w:uiPriority w:val="99"/>
    <w:semiHidden/>
    <w:qFormat/>
    <w:rPr>
      <w:b/>
      <w:bCs/>
      <w:kern w:val="2"/>
      <w:sz w:val="21"/>
      <w:szCs w:val="21"/>
    </w:rPr>
  </w:style>
  <w:style w:type="paragraph" w:customStyle="1" w:styleId="affffffffffff">
    <w:name w:val="段"/>
    <w:basedOn w:val="afff5"/>
    <w:qFormat/>
    <w:pPr>
      <w:widowControl/>
      <w:autoSpaceDE w:val="0"/>
      <w:autoSpaceDN w:val="0"/>
      <w:adjustRightInd/>
      <w:spacing w:line="240" w:lineRule="auto"/>
      <w:ind w:firstLineChars="200" w:firstLine="420"/>
    </w:pPr>
    <w:rPr>
      <w:rFonts w:ascii="宋体" w:hAnsi="Times New Roman"/>
      <w:kern w:val="0"/>
    </w:rPr>
  </w:style>
  <w:style w:type="paragraph" w:customStyle="1" w:styleId="affffffffffff0">
    <w:name w:val="章标题"/>
    <w:qFormat/>
    <w:pPr>
      <w:wordWrap w:val="0"/>
      <w:spacing w:beforeLines="100" w:afterLines="100"/>
      <w:jc w:val="both"/>
    </w:pPr>
    <w:rPr>
      <w:rFonts w:ascii="黑体" w:eastAsia="黑体" w:hAnsi="黑体"/>
      <w:sz w:val="21"/>
    </w:rPr>
  </w:style>
  <w:style w:type="paragraph" w:customStyle="1" w:styleId="affffffffffff1">
    <w:name w:val="段落"/>
    <w:qFormat/>
    <w:pPr>
      <w:autoSpaceDE w:val="0"/>
      <w:autoSpaceDN w:val="0"/>
      <w:ind w:firstLineChars="200" w:firstLine="420"/>
    </w:pPr>
    <w:rPr>
      <w:rFonts w:ascii="宋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image" Target="media/image3.jp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2EB79A776454EF38B46795D84214E15"/>
        <w:category>
          <w:name w:val="常规"/>
          <w:gallery w:val="placeholder"/>
        </w:category>
        <w:types>
          <w:type w:val="bbPlcHdr"/>
        </w:types>
        <w:behaviors>
          <w:behavior w:val="content"/>
        </w:behaviors>
        <w:guid w:val="{4B3C1A72-EE6B-4253-9ABB-E0EE8AF39260}"/>
      </w:docPartPr>
      <w:docPartBody>
        <w:p w:rsidR="00E10B29" w:rsidRDefault="00000000">
          <w:pPr>
            <w:pStyle w:val="72EB79A776454EF38B46795D84214E15"/>
            <w:rPr>
              <w:rFonts w:hint="eastAsia"/>
            </w:rPr>
          </w:pPr>
          <w:r>
            <w:rPr>
              <w:rStyle w:val="a3"/>
              <w:rFonts w:hint="eastAsia"/>
            </w:rPr>
            <w:t>单击或点击此处输入文字。</w:t>
          </w:r>
        </w:p>
      </w:docPartBody>
    </w:docPart>
    <w:docPart>
      <w:docPartPr>
        <w:name w:val="89D536F5F59A43EC8B6BD47DD34EDD5A"/>
        <w:category>
          <w:name w:val="常规"/>
          <w:gallery w:val="placeholder"/>
        </w:category>
        <w:types>
          <w:type w:val="bbPlcHdr"/>
        </w:types>
        <w:behaviors>
          <w:behavior w:val="content"/>
        </w:behaviors>
        <w:guid w:val="{630B8DE4-5DB2-4100-B117-53CB13640A46}"/>
      </w:docPartPr>
      <w:docPartBody>
        <w:p w:rsidR="00E10B29" w:rsidRDefault="00000000">
          <w:pPr>
            <w:pStyle w:val="89D536F5F59A43EC8B6BD47DD34EDD5A"/>
            <w:rPr>
              <w:rFonts w:hint="eastAsia"/>
            </w:rPr>
          </w:pPr>
          <w:r>
            <w:rPr>
              <w:rStyle w:val="a3"/>
              <w:rFonts w:hint="eastAsia"/>
            </w:rPr>
            <w:t>选择一项。</w:t>
          </w:r>
        </w:p>
      </w:docPartBody>
    </w:docPart>
    <w:docPart>
      <w:docPartPr>
        <w:name w:val="21EE55D61E7C4217883D433F8BB1F88B"/>
        <w:category>
          <w:name w:val="常规"/>
          <w:gallery w:val="placeholder"/>
        </w:category>
        <w:types>
          <w:type w:val="bbPlcHdr"/>
        </w:types>
        <w:behaviors>
          <w:behavior w:val="content"/>
        </w:behaviors>
        <w:guid w:val="{0F2D943D-BEA3-4CA6-B836-F83F19D1838B}"/>
      </w:docPartPr>
      <w:docPartBody>
        <w:p w:rsidR="00E10B29" w:rsidRDefault="00000000">
          <w:pPr>
            <w:pStyle w:val="21EE55D61E7C4217883D433F8BB1F88B"/>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52E0B" w:rsidRDefault="00E52E0B">
      <w:pPr>
        <w:spacing w:line="240" w:lineRule="auto"/>
        <w:rPr>
          <w:rFonts w:hint="eastAsia"/>
        </w:rPr>
      </w:pPr>
      <w:r>
        <w:separator/>
      </w:r>
    </w:p>
  </w:endnote>
  <w:endnote w:type="continuationSeparator" w:id="0">
    <w:p w:rsidR="00E52E0B" w:rsidRDefault="00E52E0B">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52E0B" w:rsidRDefault="00E52E0B">
      <w:pPr>
        <w:spacing w:after="0"/>
        <w:rPr>
          <w:rFonts w:hint="eastAsia"/>
        </w:rPr>
      </w:pPr>
      <w:r>
        <w:separator/>
      </w:r>
    </w:p>
  </w:footnote>
  <w:footnote w:type="continuationSeparator" w:id="0">
    <w:p w:rsidR="00E52E0B" w:rsidRDefault="00E52E0B">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CF3"/>
    <w:rsid w:val="000B595D"/>
    <w:rsid w:val="000D3261"/>
    <w:rsid w:val="00196583"/>
    <w:rsid w:val="002352F4"/>
    <w:rsid w:val="0035502A"/>
    <w:rsid w:val="00892CF3"/>
    <w:rsid w:val="008B12A3"/>
    <w:rsid w:val="00992C40"/>
    <w:rsid w:val="00BB6940"/>
    <w:rsid w:val="00C7569E"/>
    <w:rsid w:val="00E10B29"/>
    <w:rsid w:val="00E52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2EB79A776454EF38B46795D84214E15">
    <w:name w:val="72EB79A776454EF38B46795D84214E15"/>
    <w:qFormat/>
    <w:pPr>
      <w:widowControl w:val="0"/>
      <w:spacing w:after="160" w:line="278" w:lineRule="auto"/>
    </w:pPr>
    <w:rPr>
      <w:kern w:val="2"/>
      <w:sz w:val="22"/>
      <w:szCs w:val="24"/>
      <w14:ligatures w14:val="standardContextual"/>
    </w:rPr>
  </w:style>
  <w:style w:type="paragraph" w:customStyle="1" w:styleId="89D536F5F59A43EC8B6BD47DD34EDD5A">
    <w:name w:val="89D536F5F59A43EC8B6BD47DD34EDD5A"/>
    <w:autoRedefine/>
    <w:qFormat/>
    <w:pPr>
      <w:widowControl w:val="0"/>
      <w:spacing w:after="160" w:line="278" w:lineRule="auto"/>
    </w:pPr>
    <w:rPr>
      <w:kern w:val="2"/>
      <w:sz w:val="22"/>
      <w:szCs w:val="24"/>
      <w14:ligatures w14:val="standardContextual"/>
    </w:rPr>
  </w:style>
  <w:style w:type="paragraph" w:customStyle="1" w:styleId="21EE55D61E7C4217883D433F8BB1F88B">
    <w:name w:val="21EE55D61E7C4217883D433F8BB1F88B"/>
    <w:autoRedefine/>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团体标准.dotx</Template>
  <TotalTime>1</TotalTime>
  <Pages>1</Pages>
  <Words>730</Words>
  <Characters>4163</Characters>
  <Application>Microsoft Office Word</Application>
  <DocSecurity>0</DocSecurity>
  <Lines>34</Lines>
  <Paragraphs>9</Paragraphs>
  <ScaleCrop>false</ScaleCrop>
  <Company>PCMI</Company>
  <LinksUpToDate>false</LinksUpToDate>
  <CharactersWithSpaces>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WuYong</dc:creator>
  <dc:description>&lt;config cover="true" show_menu="true" version="1.0.0" doctype="SDKXY"&gt;_x000d_
&lt;/config&gt;</dc:description>
  <cp:lastModifiedBy>wyyx1881108@163.com</cp:lastModifiedBy>
  <cp:revision>10</cp:revision>
  <cp:lastPrinted>2021-02-02T08:22:00Z</cp:lastPrinted>
  <dcterms:created xsi:type="dcterms:W3CDTF">2024-04-02T02:04:00Z</dcterms:created>
  <dcterms:modified xsi:type="dcterms:W3CDTF">2025-03-25T07:30:00Z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2052-12.1.0.20305</vt:lpwstr>
  </property>
  <property fmtid="{D5CDD505-2E9C-101B-9397-08002B2CF9AE}" pid="15" name="ICV">
    <vt:lpwstr>5E77AF74E2FA49F889E6563D74CC98CE_12</vt:lpwstr>
  </property>
  <property fmtid="{D5CDD505-2E9C-101B-9397-08002B2CF9AE}" pid="16" name="KSOTemplateDocerSaveRecord">
    <vt:lpwstr>eyJoZGlkIjoiMjgyNDZkNTU1ZjZhNjAyOTFkN2Y4NTcyYmM1YzkyYTQiLCJ1c2VySWQiOiIzNTc1NDkwNDQifQ==</vt:lpwstr>
  </property>
</Properties>
</file>